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45"/>
      </w:pPr>
      <w:r>
        <w:rPr/>
        <w:t>Chapter</w:t>
      </w:r>
    </w:p>
    <w:p>
      <w:pPr>
        <w:pStyle w:val="BodyText"/>
        <w:rPr>
          <w:b/>
          <w:sz w:val="32"/>
        </w:rPr>
      </w:pPr>
    </w:p>
    <w:p>
      <w:pPr>
        <w:pStyle w:val="Title"/>
      </w:pPr>
      <w:r>
        <w:rPr/>
        <w:t>National</w:t>
      </w:r>
      <w:r>
        <w:rPr>
          <w:spacing w:val="-6"/>
        </w:rPr>
        <w:t> </w:t>
      </w:r>
      <w:r>
        <w:rPr/>
        <w:t>Elections</w:t>
      </w:r>
    </w:p>
    <w:p>
      <w:pPr>
        <w:pStyle w:val="BodyText"/>
        <w:rPr>
          <w:b/>
          <w:sz w:val="34"/>
        </w:rPr>
      </w:pPr>
    </w:p>
    <w:p>
      <w:pPr>
        <w:pStyle w:val="Heading1"/>
        <w:spacing w:before="291"/>
      </w:pPr>
      <w:r>
        <w:rPr/>
        <w:t>William</w:t>
      </w:r>
      <w:r>
        <w:rPr>
          <w:spacing w:val="-5"/>
        </w:rPr>
        <w:t> </w:t>
      </w:r>
      <w:r>
        <w:rPr/>
        <w:t>Adam</w:t>
      </w:r>
      <w:r>
        <w:rPr>
          <w:rFonts w:ascii="Symbol" w:hAnsi="Symbol"/>
          <w:b w:val="0"/>
          <w:vertAlign w:val="superscript"/>
        </w:rPr>
        <w:t></w:t>
      </w:r>
      <w:r>
        <w:rPr>
          <w:vertAlign w:val="baseline"/>
        </w:rPr>
        <w:t>,</w:t>
      </w:r>
      <w:r>
        <w:rPr>
          <w:spacing w:val="-3"/>
          <w:vertAlign w:val="baseline"/>
        </w:rPr>
        <w:t> </w:t>
      </w:r>
      <w:r>
        <w:rPr>
          <w:vertAlign w:val="baseline"/>
        </w:rPr>
        <w:t>PhD</w:t>
      </w:r>
    </w:p>
    <w:p>
      <w:pPr>
        <w:spacing w:before="34"/>
        <w:ind w:left="1073" w:right="0" w:firstLine="0"/>
        <w:jc w:val="left"/>
        <w:rPr>
          <w:sz w:val="18"/>
        </w:rPr>
      </w:pPr>
      <w:r>
        <w:rPr>
          <w:sz w:val="18"/>
        </w:rPr>
        <w:t>Affiliation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2"/>
        <w:spacing w:before="167"/>
      </w:pPr>
      <w:r>
        <w:rPr/>
        <w:t>Abstract</w:t>
      </w:r>
    </w:p>
    <w:p>
      <w:pPr>
        <w:pStyle w:val="BodyText"/>
        <w:spacing w:before="3"/>
        <w:rPr>
          <w:b/>
          <w:sz w:val="31"/>
        </w:rPr>
      </w:pPr>
    </w:p>
    <w:p>
      <w:pPr>
        <w:spacing w:before="0"/>
        <w:ind w:left="1433" w:right="1434" w:firstLine="0"/>
        <w:jc w:val="both"/>
        <w:rPr>
          <w:sz w:val="20"/>
        </w:rPr>
      </w:pPr>
      <w:r>
        <w:rPr>
          <w:sz w:val="20"/>
        </w:rPr>
        <w:t>This</w:t>
      </w:r>
      <w:r>
        <w:rPr>
          <w:spacing w:val="1"/>
          <w:sz w:val="20"/>
        </w:rPr>
        <w:t> </w:t>
      </w:r>
      <w:r>
        <w:rPr>
          <w:sz w:val="20"/>
        </w:rPr>
        <w:t>research</w:t>
      </w:r>
      <w:r>
        <w:rPr>
          <w:spacing w:val="1"/>
          <w:sz w:val="20"/>
        </w:rPr>
        <w:t> </w:t>
      </w:r>
      <w:r>
        <w:rPr>
          <w:sz w:val="20"/>
        </w:rPr>
        <w:t>examined</w:t>
      </w:r>
      <w:r>
        <w:rPr>
          <w:spacing w:val="1"/>
          <w:sz w:val="20"/>
        </w:rPr>
        <w:t> </w:t>
      </w:r>
      <w:r>
        <w:rPr>
          <w:sz w:val="20"/>
        </w:rPr>
        <w:t>national</w:t>
      </w:r>
      <w:r>
        <w:rPr>
          <w:spacing w:val="1"/>
          <w:sz w:val="20"/>
        </w:rPr>
        <w:t> </w:t>
      </w:r>
      <w:r>
        <w:rPr>
          <w:sz w:val="20"/>
        </w:rPr>
        <w:t>elections’</w:t>
      </w:r>
      <w:r>
        <w:rPr>
          <w:spacing w:val="1"/>
          <w:sz w:val="20"/>
        </w:rPr>
        <w:t> </w:t>
      </w:r>
      <w:r>
        <w:rPr>
          <w:sz w:val="20"/>
        </w:rPr>
        <w:t>impact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crash</w:t>
      </w:r>
      <w:r>
        <w:rPr>
          <w:spacing w:val="1"/>
          <w:sz w:val="20"/>
        </w:rPr>
        <w:t> </w:t>
      </w:r>
      <w:r>
        <w:rPr>
          <w:sz w:val="20"/>
        </w:rPr>
        <w:t>risks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individual stocks listed in the Indonesia Stock Exchange. The study used</w:t>
      </w:r>
      <w:r>
        <w:rPr>
          <w:spacing w:val="1"/>
          <w:sz w:val="20"/>
        </w:rPr>
        <w:t> </w:t>
      </w:r>
      <w:r>
        <w:rPr>
          <w:sz w:val="20"/>
        </w:rPr>
        <w:t>national</w:t>
      </w:r>
      <w:r>
        <w:rPr>
          <w:spacing w:val="1"/>
          <w:sz w:val="20"/>
        </w:rPr>
        <w:t> </w:t>
      </w:r>
      <w:r>
        <w:rPr>
          <w:sz w:val="20"/>
        </w:rPr>
        <w:t>elections</w:t>
      </w:r>
      <w:r>
        <w:rPr>
          <w:spacing w:val="1"/>
          <w:sz w:val="20"/>
        </w:rPr>
        <w:t> </w:t>
      </w:r>
      <w:r>
        <w:rPr>
          <w:sz w:val="20"/>
        </w:rPr>
        <w:t>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proxy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political</w:t>
      </w:r>
      <w:r>
        <w:rPr>
          <w:spacing w:val="1"/>
          <w:sz w:val="20"/>
        </w:rPr>
        <w:t> </w:t>
      </w:r>
      <w:r>
        <w:rPr>
          <w:sz w:val="20"/>
        </w:rPr>
        <w:t>uncertainty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negative</w:t>
      </w:r>
      <w:r>
        <w:rPr>
          <w:spacing w:val="1"/>
          <w:sz w:val="20"/>
        </w:rPr>
        <w:t> </w:t>
      </w:r>
      <w:r>
        <w:rPr>
          <w:sz w:val="20"/>
        </w:rPr>
        <w:t>skewness of stock returns as a proxy for crash risk. On the industry level,</w:t>
      </w:r>
      <w:r>
        <w:rPr>
          <w:spacing w:val="1"/>
          <w:sz w:val="20"/>
        </w:rPr>
        <w:t> </w:t>
      </w:r>
      <w:r>
        <w:rPr>
          <w:sz w:val="20"/>
        </w:rPr>
        <w:t>researchers</w:t>
      </w:r>
      <w:r>
        <w:rPr>
          <w:spacing w:val="1"/>
          <w:sz w:val="20"/>
        </w:rPr>
        <w:t> </w:t>
      </w:r>
      <w:r>
        <w:rPr>
          <w:sz w:val="20"/>
        </w:rPr>
        <w:t>found</w:t>
      </w:r>
      <w:r>
        <w:rPr>
          <w:spacing w:val="1"/>
          <w:sz w:val="20"/>
        </w:rPr>
        <w:t> </w:t>
      </w:r>
      <w:r>
        <w:rPr>
          <w:sz w:val="20"/>
        </w:rPr>
        <w:t>nuances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which</w:t>
      </w:r>
      <w:r>
        <w:rPr>
          <w:spacing w:val="1"/>
          <w:sz w:val="20"/>
        </w:rPr>
        <w:t> </w:t>
      </w:r>
      <w:r>
        <w:rPr>
          <w:sz w:val="20"/>
        </w:rPr>
        <w:t>national</w:t>
      </w:r>
      <w:r>
        <w:rPr>
          <w:spacing w:val="1"/>
          <w:sz w:val="20"/>
        </w:rPr>
        <w:t> </w:t>
      </w:r>
      <w:r>
        <w:rPr>
          <w:sz w:val="20"/>
        </w:rPr>
        <w:t>elections’</w:t>
      </w:r>
      <w:r>
        <w:rPr>
          <w:spacing w:val="1"/>
          <w:sz w:val="20"/>
        </w:rPr>
        <w:t> </w:t>
      </w:r>
      <w:r>
        <w:rPr>
          <w:sz w:val="20"/>
        </w:rPr>
        <w:t>impact</w:t>
      </w:r>
      <w:r>
        <w:rPr>
          <w:spacing w:val="1"/>
          <w:sz w:val="20"/>
        </w:rPr>
        <w:t> </w:t>
      </w:r>
      <w:r>
        <w:rPr>
          <w:sz w:val="20"/>
        </w:rPr>
        <w:t>varies</w:t>
      </w:r>
      <w:r>
        <w:rPr>
          <w:spacing w:val="-47"/>
          <w:sz w:val="20"/>
        </w:rPr>
        <w:t> </w:t>
      </w:r>
      <w:r>
        <w:rPr>
          <w:sz w:val="20"/>
        </w:rPr>
        <w:t>according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industry,</w:t>
      </w:r>
      <w:r>
        <w:rPr>
          <w:spacing w:val="-4"/>
          <w:sz w:val="20"/>
        </w:rPr>
        <w:t> </w:t>
      </w:r>
      <w:r>
        <w:rPr>
          <w:sz w:val="20"/>
        </w:rPr>
        <w:t>with</w:t>
      </w:r>
      <w:r>
        <w:rPr>
          <w:spacing w:val="-4"/>
          <w:sz w:val="20"/>
        </w:rPr>
        <w:t> </w:t>
      </w:r>
      <w:r>
        <w:rPr>
          <w:sz w:val="20"/>
        </w:rPr>
        <w:t>some</w:t>
      </w:r>
      <w:r>
        <w:rPr>
          <w:spacing w:val="-4"/>
          <w:sz w:val="20"/>
        </w:rPr>
        <w:t> </w:t>
      </w:r>
      <w:r>
        <w:rPr>
          <w:sz w:val="20"/>
        </w:rPr>
        <w:t>industries</w:t>
      </w:r>
      <w:r>
        <w:rPr>
          <w:spacing w:val="-5"/>
          <w:sz w:val="20"/>
        </w:rPr>
        <w:t> </w:t>
      </w:r>
      <w:r>
        <w:rPr>
          <w:sz w:val="20"/>
        </w:rPr>
        <w:t>tending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greater</w:t>
      </w:r>
      <w:r>
        <w:rPr>
          <w:spacing w:val="-3"/>
          <w:sz w:val="20"/>
        </w:rPr>
        <w:t> </w:t>
      </w:r>
      <w:r>
        <w:rPr>
          <w:sz w:val="20"/>
        </w:rPr>
        <w:t>risk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crash</w:t>
      </w:r>
      <w:r>
        <w:rPr>
          <w:spacing w:val="-47"/>
          <w:sz w:val="20"/>
        </w:rPr>
        <w:t> </w:t>
      </w:r>
      <w:r>
        <w:rPr>
          <w:sz w:val="20"/>
        </w:rPr>
        <w:t>than others</w:t>
      </w:r>
      <w:r>
        <w:rPr>
          <w:spacing w:val="-4"/>
          <w:sz w:val="20"/>
        </w:rPr>
        <w:t> </w:t>
      </w:r>
      <w:r>
        <w:rPr>
          <w:sz w:val="20"/>
        </w:rPr>
        <w:t>during national</w:t>
      </w:r>
      <w:r>
        <w:rPr>
          <w:spacing w:val="-1"/>
          <w:sz w:val="20"/>
        </w:rPr>
        <w:t> </w:t>
      </w:r>
      <w:r>
        <w:rPr>
          <w:sz w:val="20"/>
        </w:rPr>
        <w:t>elections</w:t>
      </w:r>
      <w:r>
        <w:rPr>
          <w:spacing w:val="-2"/>
          <w:sz w:val="20"/>
        </w:rPr>
        <w:t> </w:t>
      </w:r>
      <w:r>
        <w:rPr>
          <w:sz w:val="20"/>
        </w:rPr>
        <w:t>and post-national</w:t>
      </w:r>
      <w:r>
        <w:rPr>
          <w:spacing w:val="-1"/>
          <w:sz w:val="20"/>
        </w:rPr>
        <w:t> </w:t>
      </w:r>
      <w:r>
        <w:rPr>
          <w:sz w:val="20"/>
        </w:rPr>
        <w:t>election periods.</w:t>
      </w:r>
    </w:p>
    <w:p>
      <w:pPr>
        <w:pStyle w:val="BodyText"/>
        <w:spacing w:before="7"/>
        <w:rPr>
          <w:sz w:val="26"/>
        </w:rPr>
      </w:pPr>
    </w:p>
    <w:p>
      <w:pPr>
        <w:pStyle w:val="BodyText"/>
        <w:ind w:left="1073"/>
      </w:pPr>
      <w:r>
        <w:rPr>
          <w:b/>
        </w:rPr>
        <w:t>Keywords</w:t>
      </w:r>
      <w:r>
        <w:rPr/>
        <w:t>:</w:t>
      </w:r>
      <w:r>
        <w:rPr>
          <w:spacing w:val="-2"/>
        </w:rPr>
        <w:t> </w:t>
      </w:r>
      <w:r>
        <w:rPr/>
        <w:t>crash</w:t>
      </w:r>
      <w:r>
        <w:rPr>
          <w:spacing w:val="-1"/>
        </w:rPr>
        <w:t> </w:t>
      </w:r>
      <w:r>
        <w:rPr/>
        <w:t>risk,</w:t>
      </w:r>
      <w:r>
        <w:rPr>
          <w:spacing w:val="-1"/>
        </w:rPr>
        <w:t> </w:t>
      </w:r>
      <w:r>
        <w:rPr/>
        <w:t>national</w:t>
      </w:r>
      <w:r>
        <w:rPr>
          <w:spacing w:val="-2"/>
        </w:rPr>
        <w:t> </w:t>
      </w:r>
      <w:r>
        <w:rPr/>
        <w:t>election,</w:t>
      </w:r>
      <w:r>
        <w:rPr>
          <w:spacing w:val="-1"/>
        </w:rPr>
        <w:t> </w:t>
      </w:r>
      <w:r>
        <w:rPr/>
        <w:t>stock</w:t>
      </w:r>
      <w:r>
        <w:rPr>
          <w:spacing w:val="-1"/>
        </w:rPr>
        <w:t> </w:t>
      </w:r>
      <w:r>
        <w:rPr/>
        <w:t>market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2"/>
        <w:spacing w:before="146"/>
      </w:pPr>
      <w:r>
        <w:rPr/>
        <w:t>Introduction</w:t>
      </w:r>
    </w:p>
    <w:p>
      <w:pPr>
        <w:pStyle w:val="BodyText"/>
        <w:spacing w:before="5"/>
        <w:rPr>
          <w:b/>
          <w:sz w:val="31"/>
        </w:rPr>
      </w:pPr>
    </w:p>
    <w:p>
      <w:pPr>
        <w:pStyle w:val="BodyText"/>
        <w:spacing w:line="288" w:lineRule="auto"/>
        <w:ind w:left="1073" w:right="1069"/>
        <w:jc w:val="both"/>
      </w:pPr>
      <w:r>
        <w:rPr/>
        <w:t>National elections are known to impact stock markets significantly. Previous</w:t>
      </w:r>
      <w:r>
        <w:rPr>
          <w:spacing w:val="1"/>
        </w:rPr>
        <w:t> </w:t>
      </w:r>
      <w:r>
        <w:rPr/>
        <w:t>studies (Saint, 2003; Smith, 2004 and Williams and Van, 2008) have examined</w:t>
      </w:r>
      <w:r>
        <w:rPr>
          <w:spacing w:val="-50"/>
        </w:rPr>
        <w:t> </w:t>
      </w:r>
      <w:r>
        <w:rPr/>
        <w:t>national elections’ effects on stock markets, with most studies focusing on the</w:t>
      </w:r>
      <w:r>
        <w:rPr>
          <w:spacing w:val="1"/>
        </w:rPr>
        <w:t> </w:t>
      </w:r>
      <w:r>
        <w:rPr/>
        <w:t>overall market, but not looking into national elections’ impact on individual</w:t>
      </w:r>
      <w:r>
        <w:rPr>
          <w:spacing w:val="1"/>
        </w:rPr>
        <w:t> </w:t>
      </w:r>
      <w:r>
        <w:rPr/>
        <w:t>stocks.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  <w:r>
        <w:rPr/>
        <w:pict>
          <v:rect style="position:absolute;margin-left:139.699997pt;margin-top:8.685145pt;width:144.020pt;height:.48004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1"/>
        </w:numPr>
        <w:tabs>
          <w:tab w:pos="1173" w:val="left" w:leader="none"/>
        </w:tabs>
        <w:spacing w:line="240" w:lineRule="auto" w:before="100" w:after="0"/>
        <w:ind w:left="1172" w:right="0" w:hanging="100"/>
        <w:jc w:val="left"/>
        <w:rPr>
          <w:sz w:val="17"/>
        </w:rPr>
      </w:pPr>
      <w:r>
        <w:rPr>
          <w:sz w:val="17"/>
        </w:rPr>
        <w:t>Corresponding</w:t>
      </w:r>
      <w:r>
        <w:rPr>
          <w:spacing w:val="-6"/>
          <w:sz w:val="17"/>
        </w:rPr>
        <w:t> </w:t>
      </w:r>
      <w:r>
        <w:rPr>
          <w:sz w:val="17"/>
        </w:rPr>
        <w:t>Author’s</w:t>
      </w:r>
      <w:r>
        <w:rPr>
          <w:spacing w:val="-3"/>
          <w:sz w:val="17"/>
        </w:rPr>
        <w:t> </w:t>
      </w:r>
      <w:r>
        <w:rPr>
          <w:sz w:val="17"/>
        </w:rPr>
        <w:t>Email:</w:t>
      </w:r>
      <w:r>
        <w:rPr>
          <w:spacing w:val="-1"/>
          <w:sz w:val="17"/>
        </w:rPr>
        <w:t> </w:t>
      </w:r>
      <w:r>
        <w:rPr>
          <w:sz w:val="17"/>
        </w:rPr>
        <w:t>williamadam.com.</w:t>
      </w:r>
    </w:p>
    <w:p>
      <w:pPr>
        <w:spacing w:after="0" w:line="240" w:lineRule="auto"/>
        <w:jc w:val="left"/>
        <w:rPr>
          <w:sz w:val="17"/>
        </w:rPr>
        <w:sectPr>
          <w:type w:val="continuous"/>
          <w:pgSz w:w="12240" w:h="15840"/>
          <w:pgMar w:top="1500" w:bottom="280" w:left="1720" w:right="1720"/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Heading2"/>
        <w:spacing w:before="90"/>
      </w:pPr>
      <w:r>
        <w:rPr/>
        <w:t>Analytical</w:t>
      </w:r>
      <w:r>
        <w:rPr>
          <w:spacing w:val="-5"/>
        </w:rPr>
        <w:t> </w:t>
      </w:r>
      <w:r>
        <w:rPr/>
        <w:t>Framework</w:t>
      </w:r>
    </w:p>
    <w:p>
      <w:pPr>
        <w:pStyle w:val="BodyText"/>
        <w:spacing w:before="3"/>
        <w:rPr>
          <w:b/>
          <w:sz w:val="31"/>
        </w:rPr>
      </w:pPr>
    </w:p>
    <w:p>
      <w:pPr>
        <w:pStyle w:val="Heading4"/>
      </w:pPr>
      <w:r>
        <w:rPr/>
        <w:t>Literature</w:t>
      </w:r>
      <w:r>
        <w:rPr>
          <w:spacing w:val="-4"/>
        </w:rPr>
        <w:t> </w:t>
      </w:r>
      <w:r>
        <w:rPr/>
        <w:t>Review</w:t>
      </w:r>
    </w:p>
    <w:p>
      <w:pPr>
        <w:pStyle w:val="BodyText"/>
        <w:spacing w:before="5"/>
        <w:rPr>
          <w:b/>
          <w:sz w:val="30"/>
        </w:rPr>
      </w:pPr>
    </w:p>
    <w:p>
      <w:pPr>
        <w:pStyle w:val="BodyText"/>
        <w:spacing w:line="288" w:lineRule="auto"/>
        <w:ind w:left="1073" w:right="1068"/>
        <w:jc w:val="both"/>
      </w:pPr>
      <w:r>
        <w:rPr/>
        <w:t>Previous</w:t>
      </w:r>
      <w:r>
        <w:rPr>
          <w:spacing w:val="1"/>
        </w:rPr>
        <w:t> </w:t>
      </w:r>
      <w:r>
        <w:rPr/>
        <w:t>literature</w:t>
      </w:r>
      <w:r>
        <w:rPr>
          <w:position w:val="7"/>
          <w:sz w:val="14"/>
        </w:rPr>
        <w:t>1</w:t>
      </w:r>
      <w:r>
        <w:rPr>
          <w:spacing w:val="1"/>
          <w:position w:val="7"/>
          <w:sz w:val="14"/>
        </w:rPr>
        <w:t> </w:t>
      </w:r>
      <w:r>
        <w:rPr/>
        <w:t>has</w:t>
      </w:r>
      <w:r>
        <w:rPr>
          <w:spacing w:val="1"/>
        </w:rPr>
        <w:t> </w:t>
      </w:r>
      <w:r>
        <w:rPr/>
        <w:t>documented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market</w:t>
      </w:r>
      <w:r>
        <w:rPr>
          <w:spacing w:val="1"/>
        </w:rPr>
        <w:t> </w:t>
      </w:r>
      <w:r>
        <w:rPr/>
        <w:t>returns</w:t>
      </w:r>
      <w:r>
        <w:rPr>
          <w:spacing w:val="1"/>
        </w:rPr>
        <w:t> </w:t>
      </w:r>
      <w:r>
        <w:rPr/>
        <w:t>exhibit</w:t>
      </w:r>
      <w:r>
        <w:rPr>
          <w:spacing w:val="1"/>
        </w:rPr>
        <w:t> </w:t>
      </w:r>
      <w:r>
        <w:rPr/>
        <w:t>negative</w:t>
      </w:r>
      <w:r>
        <w:rPr>
          <w:spacing w:val="1"/>
        </w:rPr>
        <w:t> </w:t>
      </w:r>
      <w:r>
        <w:rPr/>
        <w:t>skewness and asymmetric volatility, which is a tendency for volatility to rise</w:t>
      </w:r>
      <w:r>
        <w:rPr>
          <w:spacing w:val="1"/>
        </w:rPr>
        <w:t> </w:t>
      </w:r>
      <w:r>
        <w:rPr/>
        <w:t>with negative return. When calculating national elections’ impact on crashes,</w:t>
      </w:r>
      <w:r>
        <w:rPr>
          <w:spacing w:val="1"/>
        </w:rPr>
        <w:t> </w:t>
      </w:r>
      <w:r>
        <w:rPr/>
        <w:t>this research adopts a narrow, euphemistic definition of the word “crash,”</w:t>
      </w:r>
      <w:r>
        <w:rPr>
          <w:spacing w:val="1"/>
        </w:rPr>
        <w:t> </w:t>
      </w:r>
      <w:r>
        <w:rPr/>
        <w:t>associating it solely with conditional skewness of return distribution, in which</w:t>
      </w:r>
      <w:r>
        <w:rPr>
          <w:spacing w:val="1"/>
        </w:rPr>
        <w:t> </w:t>
      </w:r>
      <w:r>
        <w:rPr/>
        <w:t>conditional</w:t>
      </w:r>
      <w:r>
        <w:rPr>
          <w:spacing w:val="-2"/>
        </w:rPr>
        <w:t> </w:t>
      </w:r>
      <w:r>
        <w:rPr/>
        <w:t>skewness is interpreted as</w:t>
      </w:r>
      <w:r>
        <w:rPr>
          <w:spacing w:val="-1"/>
        </w:rPr>
        <w:t> </w:t>
      </w:r>
      <w:r>
        <w:rPr/>
        <w:t>a measure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crash.</w:t>
      </w:r>
    </w:p>
    <w:p>
      <w:pPr>
        <w:pStyle w:val="BodyText"/>
        <w:spacing w:before="7"/>
        <w:rPr>
          <w:sz w:val="25"/>
        </w:rPr>
      </w:pPr>
    </w:p>
    <w:p>
      <w:pPr>
        <w:spacing w:before="1"/>
        <w:ind w:left="1073" w:right="0" w:firstLine="0"/>
        <w:jc w:val="both"/>
        <w:rPr>
          <w:b/>
          <w:sz w:val="23"/>
        </w:rPr>
      </w:pPr>
      <w:r>
        <w:rPr>
          <w:b/>
          <w:w w:val="95"/>
          <w:sz w:val="23"/>
        </w:rPr>
        <w:t>Information Withholding Hypothesis</w:t>
      </w:r>
    </w:p>
    <w:p>
      <w:pPr>
        <w:pStyle w:val="BodyText"/>
        <w:spacing w:line="288" w:lineRule="auto" w:before="49"/>
        <w:ind w:left="1073" w:right="1067"/>
        <w:jc w:val="both"/>
      </w:pPr>
      <w:r>
        <w:rPr/>
        <w:t>Perhaps</w:t>
      </w:r>
      <w:r>
        <w:rPr>
          <w:spacing w:val="-9"/>
        </w:rPr>
        <w:t> </w:t>
      </w:r>
      <w:r>
        <w:rPr/>
        <w:t>under</w:t>
      </w:r>
      <w:r>
        <w:rPr>
          <w:spacing w:val="-9"/>
        </w:rPr>
        <w:t> </w:t>
      </w:r>
      <w:r>
        <w:rPr/>
        <w:t>desirable</w:t>
      </w:r>
      <w:r>
        <w:rPr>
          <w:spacing w:val="-9"/>
        </w:rPr>
        <w:t> </w:t>
      </w:r>
      <w:r>
        <w:rPr/>
        <w:t>policy</w:t>
      </w:r>
      <w:r>
        <w:rPr>
          <w:spacing w:val="-8"/>
        </w:rPr>
        <w:t> </w:t>
      </w:r>
      <w:r>
        <w:rPr/>
        <w:t>changes,</w:t>
      </w:r>
      <w:r>
        <w:rPr>
          <w:spacing w:val="-8"/>
        </w:rPr>
        <w:t> </w:t>
      </w:r>
      <w:r>
        <w:rPr/>
        <w:t>they</w:t>
      </w:r>
      <w:r>
        <w:rPr>
          <w:spacing w:val="-11"/>
        </w:rPr>
        <w:t> </w:t>
      </w:r>
      <w:r>
        <w:rPr/>
        <w:t>might</w:t>
      </w:r>
      <w:r>
        <w:rPr>
          <w:spacing w:val="-9"/>
        </w:rPr>
        <w:t> </w:t>
      </w:r>
      <w:r>
        <w:rPr/>
        <w:t>not</w:t>
      </w:r>
      <w:r>
        <w:rPr>
          <w:spacing w:val="-9"/>
        </w:rPr>
        <w:t> </w:t>
      </w:r>
      <w:r>
        <w:rPr/>
        <w:t>need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/>
        <w:t>disclose</w:t>
      </w:r>
      <w:r>
        <w:rPr>
          <w:spacing w:val="-8"/>
        </w:rPr>
        <w:t> </w:t>
      </w:r>
      <w:r>
        <w:rPr/>
        <w:t>it.</w:t>
      </w:r>
      <w:r>
        <w:rPr>
          <w:spacing w:val="-8"/>
        </w:rPr>
        <w:t> </w:t>
      </w:r>
      <w:r>
        <w:rPr/>
        <w:t>Even</w:t>
      </w:r>
      <w:r>
        <w:rPr>
          <w:spacing w:val="-50"/>
        </w:rPr>
        <w:t> </w:t>
      </w:r>
      <w:r>
        <w:rPr/>
        <w:t>when election outcomes are unfavorable, managers can then release bad news</w:t>
      </w:r>
      <w:r>
        <w:rPr>
          <w:spacing w:val="1"/>
        </w:rPr>
        <w:t> </w:t>
      </w:r>
      <w:r>
        <w:rPr/>
        <w:t>and blame it partially on unfavorable policy changes so that it seems like an</w:t>
      </w:r>
      <w:r>
        <w:rPr>
          <w:spacing w:val="1"/>
        </w:rPr>
        <w:t> </w:t>
      </w:r>
      <w:r>
        <w:rPr/>
        <w:t>uncontrollable</w:t>
      </w:r>
      <w:r>
        <w:rPr>
          <w:spacing w:val="1"/>
        </w:rPr>
        <w:t> </w:t>
      </w:r>
      <w:r>
        <w:rPr/>
        <w:t>external</w:t>
      </w:r>
      <w:r>
        <w:rPr>
          <w:spacing w:val="1"/>
        </w:rPr>
        <w:t> </w:t>
      </w:r>
      <w:r>
        <w:rPr/>
        <w:t>factor.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post-election</w:t>
      </w:r>
      <w:r>
        <w:rPr>
          <w:position w:val="7"/>
          <w:sz w:val="14"/>
        </w:rPr>
        <w:t>2</w:t>
      </w:r>
      <w:r>
        <w:rPr>
          <w:spacing w:val="1"/>
          <w:position w:val="7"/>
          <w:sz w:val="14"/>
        </w:rPr>
        <w:t> </w:t>
      </w:r>
      <w:r>
        <w:rPr/>
        <w:t>period,</w:t>
      </w:r>
      <w:r>
        <w:rPr>
          <w:spacing w:val="1"/>
        </w:rPr>
        <w:t> </w:t>
      </w:r>
      <w:r>
        <w:rPr/>
        <w:t>when</w:t>
      </w:r>
      <w:r>
        <w:rPr>
          <w:spacing w:val="1"/>
        </w:rPr>
        <w:t> </w:t>
      </w:r>
      <w:r>
        <w:rPr/>
        <w:t>political</w:t>
      </w:r>
      <w:r>
        <w:rPr>
          <w:spacing w:val="1"/>
        </w:rPr>
        <w:t> </w:t>
      </w:r>
      <w:r>
        <w:rPr/>
        <w:t>uncertainty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lower,</w:t>
      </w:r>
      <w:r>
        <w:rPr>
          <w:spacing w:val="1"/>
        </w:rPr>
        <w:t> </w:t>
      </w:r>
      <w:r>
        <w:rPr/>
        <w:t>managers</w:t>
      </w:r>
      <w:r>
        <w:rPr>
          <w:spacing w:val="1"/>
        </w:rPr>
        <w:t> </w:t>
      </w:r>
      <w:r>
        <w:rPr/>
        <w:t>gradually</w:t>
      </w:r>
      <w:r>
        <w:rPr>
          <w:spacing w:val="1"/>
        </w:rPr>
        <w:t> </w:t>
      </w:r>
      <w:r>
        <w:rPr/>
        <w:t>lose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ability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hide</w:t>
      </w:r>
      <w:r>
        <w:rPr>
          <w:spacing w:val="1"/>
        </w:rPr>
        <w:t> </w:t>
      </w:r>
      <w:r>
        <w:rPr/>
        <w:t>negative</w:t>
      </w:r>
      <w:r>
        <w:rPr>
          <w:spacing w:val="-50"/>
        </w:rPr>
        <w:t> </w:t>
      </w:r>
      <w:r>
        <w:rPr/>
        <w:t>information.</w:t>
      </w:r>
      <w:r>
        <w:rPr>
          <w:spacing w:val="1"/>
        </w:rPr>
        <w:t> </w:t>
      </w:r>
      <w:r>
        <w:rPr/>
        <w:t>Since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unlikely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remain</w:t>
      </w:r>
      <w:r>
        <w:rPr>
          <w:spacing w:val="1"/>
        </w:rPr>
        <w:t> </w:t>
      </w:r>
      <w:r>
        <w:rPr/>
        <w:t>buried,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negative</w:t>
      </w:r>
      <w:r>
        <w:rPr>
          <w:spacing w:val="1"/>
        </w:rPr>
        <w:t> </w:t>
      </w:r>
      <w:r>
        <w:rPr/>
        <w:t>stockpile</w:t>
      </w:r>
      <w:r>
        <w:rPr>
          <w:spacing w:val="1"/>
        </w:rPr>
        <w:t> </w:t>
      </w:r>
      <w:r>
        <w:rPr/>
        <w:t>eventually</w:t>
      </w:r>
      <w:r>
        <w:rPr>
          <w:spacing w:val="-6"/>
        </w:rPr>
        <w:t> </w:t>
      </w:r>
      <w:r>
        <w:rPr/>
        <w:t>emerges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reflected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stock</w:t>
      </w:r>
      <w:r>
        <w:rPr>
          <w:spacing w:val="-5"/>
        </w:rPr>
        <w:t> </w:t>
      </w:r>
      <w:r>
        <w:rPr/>
        <w:t>prices</w:t>
      </w:r>
      <w:r>
        <w:rPr>
          <w:spacing w:val="-6"/>
        </w:rPr>
        <w:t> </w:t>
      </w:r>
      <w:r>
        <w:rPr/>
        <w:t>that</w:t>
      </w:r>
      <w:r>
        <w:rPr>
          <w:spacing w:val="-7"/>
        </w:rPr>
        <w:t> </w:t>
      </w:r>
      <w:r>
        <w:rPr/>
        <w:t>decline</w:t>
      </w:r>
      <w:r>
        <w:rPr>
          <w:spacing w:val="-5"/>
        </w:rPr>
        <w:t> </w:t>
      </w:r>
      <w:r>
        <w:rPr/>
        <w:t>sharply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crash.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30"/>
        </w:rPr>
      </w:pPr>
    </w:p>
    <w:p>
      <w:pPr>
        <w:spacing w:before="0"/>
        <w:ind w:left="1073" w:right="0" w:firstLine="0"/>
        <w:jc w:val="left"/>
        <w:rPr>
          <w:b/>
          <w:sz w:val="22"/>
        </w:rPr>
      </w:pPr>
      <w:r>
        <w:rPr>
          <w:b/>
          <w:sz w:val="22"/>
        </w:rPr>
        <w:t>Method</w:t>
      </w:r>
    </w:p>
    <w:p>
      <w:pPr>
        <w:pStyle w:val="BodyText"/>
        <w:spacing w:before="11"/>
        <w:rPr>
          <w:b/>
          <w:sz w:val="29"/>
        </w:rPr>
      </w:pPr>
    </w:p>
    <w:p>
      <w:pPr>
        <w:pStyle w:val="Heading3"/>
      </w:pPr>
      <w:r>
        <w:rPr>
          <w:w w:val="95"/>
        </w:rPr>
        <w:t>Sample</w:t>
      </w:r>
      <w:r>
        <w:rPr>
          <w:spacing w:val="3"/>
          <w:w w:val="95"/>
        </w:rPr>
        <w:t> </w:t>
      </w:r>
      <w:r>
        <w:rPr>
          <w:w w:val="95"/>
        </w:rPr>
        <w:t>Construction</w:t>
      </w:r>
    </w:p>
    <w:p>
      <w:pPr>
        <w:pStyle w:val="BodyText"/>
        <w:spacing w:line="288" w:lineRule="auto" w:before="47"/>
        <w:ind w:left="1073" w:right="1067"/>
        <w:jc w:val="both"/>
      </w:pPr>
      <w:r>
        <w:rPr/>
        <w:t>Researchers</w:t>
      </w:r>
      <w:r>
        <w:rPr>
          <w:spacing w:val="1"/>
        </w:rPr>
        <w:t> </w:t>
      </w:r>
      <w:r>
        <w:rPr/>
        <w:t>began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examining</w:t>
      </w:r>
      <w:r>
        <w:rPr>
          <w:spacing w:val="1"/>
        </w:rPr>
        <w:t> </w:t>
      </w:r>
      <w:r>
        <w:rPr/>
        <w:t>all</w:t>
      </w:r>
      <w:r>
        <w:rPr>
          <w:spacing w:val="1"/>
        </w:rPr>
        <w:t> </w:t>
      </w:r>
      <w:r>
        <w:rPr/>
        <w:t>stocks</w:t>
      </w:r>
      <w:r>
        <w:rPr>
          <w:spacing w:val="1"/>
        </w:rPr>
        <w:t> </w:t>
      </w:r>
      <w:r>
        <w:rPr/>
        <w:t>listed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Stock</w:t>
      </w:r>
      <w:r>
        <w:rPr>
          <w:spacing w:val="1"/>
        </w:rPr>
        <w:t> </w:t>
      </w:r>
      <w:r>
        <w:rPr/>
        <w:t>Exchange</w:t>
      </w:r>
      <w:r>
        <w:rPr>
          <w:position w:val="7"/>
          <w:sz w:val="14"/>
        </w:rPr>
        <w:t>3</w:t>
      </w:r>
      <w:r>
        <w:rPr>
          <w:spacing w:val="1"/>
          <w:position w:val="7"/>
          <w:sz w:val="14"/>
        </w:rPr>
        <w:t> </w:t>
      </w:r>
      <w:r>
        <w:rPr/>
        <w:t>from 2000 to 2016, and, next, imposed several criteria. Following</w:t>
      </w:r>
      <w:r>
        <w:rPr>
          <w:spacing w:val="1"/>
        </w:rPr>
        <w:t> </w:t>
      </w:r>
      <w:r>
        <w:rPr/>
        <w:t>these criteria, this study’s final sample resulted in unbalanced panel data that</w:t>
      </w:r>
      <w:r>
        <w:rPr>
          <w:spacing w:val="1"/>
        </w:rPr>
        <w:t> </w:t>
      </w:r>
      <w:r>
        <w:rPr/>
        <w:t>included 316 companies with 3195 firm-year observations, the earliest in </w:t>
      </w:r>
      <w:r>
        <w:rPr>
          <w:sz w:val="22"/>
        </w:rPr>
        <w:t>2002</w:t>
      </w:r>
      <w:r>
        <w:rPr>
          <w:spacing w:val="-52"/>
          <w:sz w:val="22"/>
        </w:rPr>
        <w:t> </w:t>
      </w:r>
      <w:r>
        <w:rPr/>
        <w:t>and</w:t>
      </w:r>
      <w:r>
        <w:rPr>
          <w:spacing w:val="-1"/>
        </w:rPr>
        <w:t> </w:t>
      </w:r>
      <w:r>
        <w:rPr/>
        <w:t>the latest</w:t>
      </w:r>
      <w:r>
        <w:rPr>
          <w:spacing w:val="-1"/>
        </w:rPr>
        <w:t> </w:t>
      </w:r>
      <w:r>
        <w:rPr/>
        <w:t>in 2016.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  <w:r>
        <w:rPr/>
        <w:pict>
          <v:rect style="position:absolute;margin-left:139.699997pt;margin-top:10.373741pt;width:144.020pt;height:.47998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100"/>
        <w:ind w:left="1073" w:right="0" w:firstLine="0"/>
        <w:jc w:val="left"/>
        <w:rPr>
          <w:sz w:val="17"/>
        </w:rPr>
      </w:pPr>
      <w:r>
        <w:rPr>
          <w:sz w:val="17"/>
          <w:vertAlign w:val="superscript"/>
        </w:rPr>
        <w:t>1</w:t>
      </w:r>
      <w:r>
        <w:rPr>
          <w:spacing w:val="-2"/>
          <w:sz w:val="17"/>
          <w:vertAlign w:val="baseline"/>
        </w:rPr>
        <w:t> </w:t>
      </w:r>
      <w:r>
        <w:rPr>
          <w:sz w:val="17"/>
          <w:vertAlign w:val="baseline"/>
        </w:rPr>
        <w:t>Read</w:t>
      </w:r>
      <w:r>
        <w:rPr>
          <w:spacing w:val="-1"/>
          <w:sz w:val="17"/>
          <w:vertAlign w:val="baseline"/>
        </w:rPr>
        <w:t> </w:t>
      </w:r>
      <w:r>
        <w:rPr>
          <w:sz w:val="17"/>
          <w:vertAlign w:val="baseline"/>
        </w:rPr>
        <w:t>literature</w:t>
      </w:r>
      <w:r>
        <w:rPr>
          <w:spacing w:val="-2"/>
          <w:sz w:val="17"/>
          <w:vertAlign w:val="baseline"/>
        </w:rPr>
        <w:t> </w:t>
      </w:r>
      <w:r>
        <w:rPr>
          <w:sz w:val="17"/>
          <w:vertAlign w:val="baseline"/>
        </w:rPr>
        <w:t>by</w:t>
      </w:r>
      <w:r>
        <w:rPr>
          <w:spacing w:val="-3"/>
          <w:sz w:val="17"/>
          <w:vertAlign w:val="baseline"/>
        </w:rPr>
        <w:t> </w:t>
      </w:r>
      <w:r>
        <w:rPr>
          <w:sz w:val="17"/>
          <w:vertAlign w:val="baseline"/>
        </w:rPr>
        <w:t>John</w:t>
      </w:r>
      <w:r>
        <w:rPr>
          <w:spacing w:val="-3"/>
          <w:sz w:val="17"/>
          <w:vertAlign w:val="baseline"/>
        </w:rPr>
        <w:t> </w:t>
      </w:r>
      <w:r>
        <w:rPr>
          <w:sz w:val="17"/>
          <w:vertAlign w:val="baseline"/>
        </w:rPr>
        <w:t>Smith, Article</w:t>
      </w:r>
      <w:r>
        <w:rPr>
          <w:spacing w:val="-3"/>
          <w:sz w:val="17"/>
          <w:vertAlign w:val="baseline"/>
        </w:rPr>
        <w:t> </w:t>
      </w:r>
      <w:r>
        <w:rPr>
          <w:sz w:val="17"/>
          <w:vertAlign w:val="baseline"/>
        </w:rPr>
        <w:t>5,</w:t>
      </w:r>
      <w:r>
        <w:rPr>
          <w:spacing w:val="-1"/>
          <w:sz w:val="17"/>
          <w:vertAlign w:val="baseline"/>
        </w:rPr>
        <w:t> </w:t>
      </w:r>
      <w:r>
        <w:rPr>
          <w:sz w:val="17"/>
          <w:vertAlign w:val="baseline"/>
        </w:rPr>
        <w:t>June</w:t>
      </w:r>
      <w:r>
        <w:rPr>
          <w:spacing w:val="-2"/>
          <w:sz w:val="17"/>
          <w:vertAlign w:val="baseline"/>
        </w:rPr>
        <w:t> </w:t>
      </w:r>
      <w:r>
        <w:rPr>
          <w:sz w:val="17"/>
          <w:vertAlign w:val="baseline"/>
        </w:rPr>
        <w:t>30,</w:t>
      </w:r>
      <w:r>
        <w:rPr>
          <w:spacing w:val="-4"/>
          <w:sz w:val="17"/>
          <w:vertAlign w:val="baseline"/>
        </w:rPr>
        <w:t> </w:t>
      </w:r>
      <w:r>
        <w:rPr>
          <w:sz w:val="17"/>
          <w:vertAlign w:val="baseline"/>
        </w:rPr>
        <w:t>1976.</w:t>
      </w:r>
    </w:p>
    <w:p>
      <w:pPr>
        <w:spacing w:line="195" w:lineRule="exact" w:before="1"/>
        <w:ind w:left="1073" w:right="0" w:firstLine="0"/>
        <w:jc w:val="left"/>
        <w:rPr>
          <w:sz w:val="17"/>
        </w:rPr>
      </w:pPr>
      <w:r>
        <w:rPr>
          <w:sz w:val="17"/>
          <w:vertAlign w:val="superscript"/>
        </w:rPr>
        <w:t>2</w:t>
      </w:r>
      <w:r>
        <w:rPr>
          <w:spacing w:val="-2"/>
          <w:sz w:val="17"/>
          <w:vertAlign w:val="baseline"/>
        </w:rPr>
        <w:t> </w:t>
      </w:r>
      <w:r>
        <w:rPr>
          <w:sz w:val="17"/>
          <w:vertAlign w:val="baseline"/>
        </w:rPr>
        <w:t>National</w:t>
      </w:r>
      <w:r>
        <w:rPr>
          <w:spacing w:val="-4"/>
          <w:sz w:val="17"/>
          <w:vertAlign w:val="baseline"/>
        </w:rPr>
        <w:t> </w:t>
      </w:r>
      <w:r>
        <w:rPr>
          <w:sz w:val="17"/>
          <w:vertAlign w:val="baseline"/>
        </w:rPr>
        <w:t>Election</w:t>
      </w:r>
      <w:r>
        <w:rPr>
          <w:spacing w:val="-1"/>
          <w:sz w:val="17"/>
          <w:vertAlign w:val="baseline"/>
        </w:rPr>
        <w:t> </w:t>
      </w:r>
      <w:r>
        <w:rPr>
          <w:sz w:val="17"/>
          <w:vertAlign w:val="baseline"/>
        </w:rPr>
        <w:t>article,</w:t>
      </w:r>
      <w:r>
        <w:rPr>
          <w:spacing w:val="-4"/>
          <w:sz w:val="17"/>
          <w:vertAlign w:val="baseline"/>
        </w:rPr>
        <w:t> </w:t>
      </w:r>
      <w:r>
        <w:rPr>
          <w:sz w:val="17"/>
          <w:vertAlign w:val="baseline"/>
        </w:rPr>
        <w:t>July</w:t>
      </w:r>
      <w:r>
        <w:rPr>
          <w:spacing w:val="-3"/>
          <w:sz w:val="17"/>
          <w:vertAlign w:val="baseline"/>
        </w:rPr>
        <w:t> </w:t>
      </w:r>
      <w:r>
        <w:rPr>
          <w:sz w:val="17"/>
          <w:vertAlign w:val="baseline"/>
        </w:rPr>
        <w:t>4, 2000.</w:t>
      </w:r>
    </w:p>
    <w:p>
      <w:pPr>
        <w:spacing w:line="195" w:lineRule="exact" w:before="0"/>
        <w:ind w:left="1073" w:right="0" w:firstLine="0"/>
        <w:jc w:val="left"/>
        <w:rPr>
          <w:sz w:val="17"/>
        </w:rPr>
      </w:pPr>
      <w:r>
        <w:rPr>
          <w:sz w:val="17"/>
          <w:vertAlign w:val="superscript"/>
        </w:rPr>
        <w:t>3</w:t>
      </w:r>
      <w:r>
        <w:rPr>
          <w:spacing w:val="-4"/>
          <w:sz w:val="17"/>
          <w:vertAlign w:val="baseline"/>
        </w:rPr>
        <w:t> </w:t>
      </w:r>
      <w:r>
        <w:rPr>
          <w:sz w:val="17"/>
          <w:vertAlign w:val="baseline"/>
        </w:rPr>
        <w:t>Indonesia</w:t>
      </w:r>
      <w:r>
        <w:rPr>
          <w:spacing w:val="-4"/>
          <w:sz w:val="17"/>
          <w:vertAlign w:val="baseline"/>
        </w:rPr>
        <w:t> </w:t>
      </w:r>
      <w:r>
        <w:rPr>
          <w:sz w:val="17"/>
          <w:vertAlign w:val="baseline"/>
        </w:rPr>
        <w:t>Stock</w:t>
      </w:r>
      <w:r>
        <w:rPr>
          <w:spacing w:val="-2"/>
          <w:sz w:val="17"/>
          <w:vertAlign w:val="baseline"/>
        </w:rPr>
        <w:t> </w:t>
      </w:r>
      <w:r>
        <w:rPr>
          <w:sz w:val="17"/>
          <w:vertAlign w:val="baseline"/>
        </w:rPr>
        <w:t>Exchange</w:t>
      </w:r>
      <w:r>
        <w:rPr>
          <w:spacing w:val="-4"/>
          <w:sz w:val="17"/>
          <w:vertAlign w:val="baseline"/>
        </w:rPr>
        <w:t> </w:t>
      </w:r>
      <w:r>
        <w:rPr>
          <w:sz w:val="17"/>
          <w:vertAlign w:val="baseline"/>
        </w:rPr>
        <w:t>newsletter.</w:t>
      </w:r>
    </w:p>
    <w:p>
      <w:pPr>
        <w:spacing w:after="0" w:line="195" w:lineRule="exact"/>
        <w:jc w:val="left"/>
        <w:rPr>
          <w:sz w:val="17"/>
        </w:rPr>
        <w:sectPr>
          <w:headerReference w:type="even" r:id="rId5"/>
          <w:headerReference w:type="default" r:id="rId6"/>
          <w:pgSz w:w="12240" w:h="15840"/>
          <w:pgMar w:header="2141" w:footer="0" w:top="2360" w:bottom="280" w:left="1720" w:right="1720"/>
          <w:pgNumType w:start="2"/>
        </w:sectPr>
      </w:pPr>
    </w:p>
    <w:p>
      <w:pPr>
        <w:pStyle w:val="BodyText"/>
        <w:spacing w:before="2"/>
        <w:rPr>
          <w:sz w:val="12"/>
        </w:rPr>
      </w:pPr>
    </w:p>
    <w:p>
      <w:pPr>
        <w:pStyle w:val="Heading4"/>
        <w:spacing w:before="91"/>
        <w:jc w:val="both"/>
      </w:pPr>
      <w:r>
        <w:rPr/>
        <w:t>Stock</w:t>
      </w:r>
      <w:r>
        <w:rPr>
          <w:spacing w:val="-2"/>
        </w:rPr>
        <w:t> </w:t>
      </w:r>
      <w:r>
        <w:rPr/>
        <w:t>Crash</w:t>
      </w:r>
      <w:r>
        <w:rPr>
          <w:spacing w:val="-2"/>
        </w:rPr>
        <w:t> </w:t>
      </w:r>
      <w:r>
        <w:rPr/>
        <w:t>Risk</w:t>
      </w:r>
      <w:r>
        <w:rPr>
          <w:spacing w:val="-5"/>
        </w:rPr>
        <w:t> </w:t>
      </w:r>
      <w:r>
        <w:rPr/>
        <w:t>Measurements</w:t>
      </w:r>
    </w:p>
    <w:p>
      <w:pPr>
        <w:pStyle w:val="BodyText"/>
        <w:spacing w:before="9"/>
        <w:rPr>
          <w:b/>
          <w:sz w:val="30"/>
        </w:rPr>
      </w:pPr>
    </w:p>
    <w:p>
      <w:pPr>
        <w:pStyle w:val="BodyText"/>
        <w:spacing w:line="288" w:lineRule="auto"/>
        <w:ind w:left="1073" w:right="1067"/>
        <w:jc w:val="both"/>
      </w:pPr>
      <w:r>
        <w:rPr/>
        <w:t>To calculate crash risk, this research using negative skewness of firm-specific</w:t>
      </w:r>
      <w:r>
        <w:rPr>
          <w:spacing w:val="1"/>
        </w:rPr>
        <w:t> </w:t>
      </w:r>
      <w:r>
        <w:rPr/>
        <w:t>weekly return. We calculated negative skewness of firm-specific weekly return</w:t>
      </w:r>
      <w:r>
        <w:rPr>
          <w:spacing w:val="-50"/>
        </w:rPr>
        <w:t> </w:t>
      </w:r>
      <w:r>
        <w:rPr/>
        <w:t>as</w:t>
      </w:r>
      <w:r>
        <w:rPr>
          <w:spacing w:val="-1"/>
        </w:rPr>
        <w:t> </w:t>
      </w:r>
      <w:r>
        <w:rPr/>
        <w:t>follows:</w:t>
      </w:r>
    </w:p>
    <w:p>
      <w:pPr>
        <w:pStyle w:val="BodyText"/>
        <w:spacing w:before="6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header="2141" w:footer="0" w:top="2360" w:bottom="280" w:left="1720" w:right="1720"/>
        </w:sectPr>
      </w:pPr>
    </w:p>
    <w:p>
      <w:pPr>
        <w:spacing w:line="114" w:lineRule="exact" w:before="79"/>
        <w:ind w:left="0" w:right="766" w:firstLine="0"/>
        <w:jc w:val="right"/>
        <w:rPr>
          <w:rFonts w:ascii="Cambria Math"/>
          <w:sz w:val="12"/>
        </w:rPr>
      </w:pPr>
      <w:r>
        <w:rPr/>
        <w:pict>
          <v:shape style="position:absolute;margin-left:157.699997pt;margin-top:14.458349pt;width:150.3pt;height:11.95pt;mso-position-horizontal-relative:page;mso-position-vertical-relative:paragraph;z-index:-15934464" type="#_x0000_t202" filled="false" stroked="false">
            <v:textbox inset="0,0,0,0">
              <w:txbxContent>
                <w:p>
                  <w:pPr>
                    <w:tabs>
                      <w:tab w:pos="2681" w:val="left" w:leader="none"/>
                    </w:tabs>
                    <w:spacing w:line="239" w:lineRule="exact" w:before="0"/>
                    <w:ind w:left="0" w:right="0" w:firstLine="0"/>
                    <w:jc w:val="left"/>
                    <w:rPr>
                      <w:rFonts w:ascii="Cambria Math" w:eastAsia="Cambria Math"/>
                      <w:sz w:val="21"/>
                    </w:rPr>
                  </w:pPr>
                  <w:r>
                    <w:rPr>
                      <w:position w:val="2"/>
                      <w:sz w:val="21"/>
                    </w:rPr>
                    <w:t>NCSKEW</w:t>
                  </w:r>
                  <w:r>
                    <w:rPr>
                      <w:sz w:val="14"/>
                    </w:rPr>
                    <w:t>i,s</w:t>
                  </w:r>
                  <w:r>
                    <w:rPr>
                      <w:spacing w:val="15"/>
                      <w:sz w:val="14"/>
                    </w:rPr>
                    <w:t> </w:t>
                  </w:r>
                  <w:r>
                    <w:rPr>
                      <w:position w:val="2"/>
                      <w:sz w:val="21"/>
                    </w:rPr>
                    <w:t>=</w:t>
                    <w:tab/>
                  </w:r>
                  <w:r>
                    <w:rPr>
                      <w:rFonts w:ascii="Cambria Math" w:eastAsia="Cambria Math"/>
                      <w:position w:val="2"/>
                      <w:sz w:val="21"/>
                      <w:u w:val="single"/>
                      <w:vertAlign w:val="superscript"/>
                    </w:rPr>
                    <w:t>𝑖,𝑡</w:t>
                  </w:r>
                  <w:r>
                    <w:rPr>
                      <w:rFonts w:ascii="Cambria Math" w:eastAsia="Cambria Math"/>
                      <w:spacing w:val="13"/>
                      <w:position w:val="2"/>
                      <w:sz w:val="21"/>
                      <w:u w:val="single"/>
                      <w:vertAlign w:val="baseline"/>
                    </w:rPr>
                    <w:t> </w:t>
                  </w:r>
                </w:p>
              </w:txbxContent>
            </v:textbox>
            <w10:wrap type="none"/>
          </v:shape>
        </w:pict>
      </w:r>
      <w:r>
        <w:rPr>
          <w:rFonts w:ascii="Cambria Math"/>
          <w:w w:val="107"/>
          <w:sz w:val="12"/>
        </w:rPr>
        <w:t>3</w:t>
      </w:r>
    </w:p>
    <w:p>
      <w:pPr>
        <w:pStyle w:val="BodyText"/>
        <w:spacing w:before="8"/>
        <w:rPr>
          <w:rFonts w:ascii="Cambria Math"/>
          <w:sz w:val="2"/>
        </w:rPr>
      </w:pPr>
    </w:p>
    <w:p>
      <w:pPr>
        <w:pStyle w:val="BodyText"/>
        <w:spacing w:line="20" w:lineRule="exact"/>
        <w:ind w:left="3642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3.6pt;height:.4pt;mso-position-horizontal-relative:char;mso-position-vertical-relative:line" coordorigin="0,0" coordsize="72,8">
            <v:rect style="position:absolute;left:0;top:0;width:72;height:8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spacing w:line="129" w:lineRule="exact" w:before="0"/>
        <w:ind w:left="2673" w:right="0" w:firstLine="0"/>
        <w:jc w:val="left"/>
        <w:rPr>
          <w:rFonts w:ascii="Cambria Math" w:hAnsi="Cambria Math" w:eastAsia="Cambria Math"/>
          <w:sz w:val="15"/>
        </w:rPr>
      </w:pPr>
      <w:r>
        <w:rPr>
          <w:position w:val="-3"/>
          <w:sz w:val="12"/>
          <w:u w:val="single"/>
        </w:rPr>
        <w:t>    </w:t>
      </w:r>
      <w:r>
        <w:rPr>
          <w:spacing w:val="-11"/>
          <w:position w:val="-3"/>
          <w:sz w:val="12"/>
          <w:u w:val="single"/>
        </w:rPr>
        <w:t> </w:t>
      </w:r>
      <w:r>
        <w:rPr>
          <w:rFonts w:ascii="Cambria Math" w:hAnsi="Cambria Math" w:eastAsia="Cambria Math"/>
          <w:w w:val="105"/>
          <w:sz w:val="15"/>
        </w:rPr>
        <w:t>−[𝑛</w:t>
      </w:r>
      <w:r>
        <w:rPr>
          <w:rFonts w:ascii="Cambria Math" w:hAnsi="Cambria Math" w:eastAsia="Cambria Math"/>
          <w:spacing w:val="1"/>
          <w:w w:val="105"/>
          <w:sz w:val="15"/>
        </w:rPr>
        <w:t> </w:t>
      </w:r>
      <w:r>
        <w:rPr>
          <w:rFonts w:ascii="Cambria Math" w:hAnsi="Cambria Math" w:eastAsia="Cambria Math"/>
          <w:smallCaps/>
          <w:w w:val="105"/>
          <w:sz w:val="15"/>
        </w:rPr>
        <w:t>x</w:t>
      </w:r>
      <w:r>
        <w:rPr>
          <w:rFonts w:ascii="Cambria Math" w:hAnsi="Cambria Math" w:eastAsia="Cambria Math"/>
          <w:smallCaps w:val="0"/>
          <w:w w:val="105"/>
          <w:sz w:val="15"/>
        </w:rPr>
        <w:t> </w:t>
      </w:r>
      <w:r>
        <w:rPr>
          <w:rFonts w:ascii="Cambria Math" w:hAnsi="Cambria Math" w:eastAsia="Cambria Math"/>
          <w:smallCaps w:val="0"/>
          <w:w w:val="105"/>
          <w:position w:val="1"/>
          <w:sz w:val="15"/>
        </w:rPr>
        <w:t>(</w:t>
      </w:r>
      <w:r>
        <w:rPr>
          <w:rFonts w:ascii="Cambria Math" w:hAnsi="Cambria Math" w:eastAsia="Cambria Math"/>
          <w:smallCaps w:val="0"/>
          <w:w w:val="105"/>
          <w:sz w:val="15"/>
        </w:rPr>
        <w:t>𝑛−1</w:t>
      </w:r>
      <w:r>
        <w:rPr>
          <w:rFonts w:ascii="Cambria Math" w:hAnsi="Cambria Math" w:eastAsia="Cambria Math"/>
          <w:smallCaps w:val="0"/>
          <w:w w:val="105"/>
          <w:position w:val="1"/>
          <w:sz w:val="15"/>
        </w:rPr>
        <w:t>)</w:t>
      </w:r>
      <w:r>
        <w:rPr>
          <w:rFonts w:ascii="Cambria Math" w:hAnsi="Cambria Math" w:eastAsia="Cambria Math"/>
          <w:smallCaps w:val="0"/>
          <w:w w:val="105"/>
          <w:position w:val="2"/>
          <w:sz w:val="12"/>
        </w:rPr>
        <w:t>2</w:t>
      </w:r>
      <w:r>
        <w:rPr>
          <w:rFonts w:ascii="Cambria Math" w:hAnsi="Cambria Math" w:eastAsia="Cambria Math"/>
          <w:smallCaps/>
          <w:w w:val="105"/>
          <w:sz w:val="15"/>
        </w:rPr>
        <w:t>x</w:t>
      </w:r>
      <w:r>
        <w:rPr>
          <w:rFonts w:ascii="Cambria Math" w:hAnsi="Cambria Math" w:eastAsia="Cambria Math"/>
          <w:smallCaps w:val="0"/>
          <w:spacing w:val="26"/>
          <w:w w:val="105"/>
          <w:sz w:val="15"/>
        </w:rPr>
        <w:t> </w:t>
      </w:r>
      <w:r>
        <w:rPr>
          <w:rFonts w:ascii="Cambria Math" w:hAnsi="Cambria Math" w:eastAsia="Cambria Math"/>
          <w:smallCaps w:val="0"/>
          <w:w w:val="105"/>
          <w:position w:val="1"/>
          <w:sz w:val="15"/>
        </w:rPr>
        <w:t>∑</w:t>
      </w:r>
      <w:r>
        <w:rPr>
          <w:rFonts w:ascii="Cambria Math" w:hAnsi="Cambria Math" w:eastAsia="Cambria Math"/>
          <w:smallCaps w:val="0"/>
          <w:spacing w:val="-10"/>
          <w:w w:val="105"/>
          <w:position w:val="1"/>
          <w:sz w:val="15"/>
        </w:rPr>
        <w:t> </w:t>
      </w:r>
      <w:r>
        <w:rPr>
          <w:rFonts w:ascii="Cambria Math" w:hAnsi="Cambria Math" w:eastAsia="Cambria Math"/>
          <w:smallCaps w:val="0"/>
          <w:w w:val="105"/>
          <w:sz w:val="15"/>
        </w:rPr>
        <w:t>𝑊</w:t>
      </w:r>
      <w:r>
        <w:rPr>
          <w:rFonts w:ascii="Cambria Math" w:hAnsi="Cambria Math" w:eastAsia="Cambria Math"/>
          <w:smallCaps w:val="0"/>
          <w:w w:val="105"/>
          <w:position w:val="6"/>
          <w:sz w:val="12"/>
        </w:rPr>
        <w:t>3</w:t>
      </w:r>
      <w:r>
        <w:rPr>
          <w:rFonts w:ascii="Cambria Math" w:hAnsi="Cambria Math" w:eastAsia="Cambria Math"/>
          <w:smallCaps w:val="0"/>
          <w:spacing w:val="6"/>
          <w:w w:val="105"/>
          <w:position w:val="6"/>
          <w:sz w:val="12"/>
        </w:rPr>
        <w:t> </w:t>
      </w:r>
      <w:r>
        <w:rPr>
          <w:rFonts w:ascii="Cambria Math" w:hAnsi="Cambria Math" w:eastAsia="Cambria Math"/>
          <w:smallCaps w:val="0"/>
          <w:w w:val="105"/>
          <w:sz w:val="15"/>
        </w:rPr>
        <w:t>]</w:t>
      </w:r>
    </w:p>
    <w:p>
      <w:pPr>
        <w:spacing w:line="125" w:lineRule="exact" w:before="28"/>
        <w:ind w:left="0" w:right="96" w:firstLine="0"/>
        <w:jc w:val="right"/>
        <w:rPr>
          <w:rFonts w:ascii="Cambria Math"/>
          <w:sz w:val="12"/>
        </w:rPr>
      </w:pPr>
      <w:r>
        <w:rPr>
          <w:rFonts w:ascii="Cambria Math"/>
          <w:w w:val="107"/>
          <w:sz w:val="12"/>
        </w:rPr>
        <w:t>3</w:t>
      </w:r>
    </w:p>
    <w:p>
      <w:pPr>
        <w:spacing w:line="191" w:lineRule="exact" w:before="0"/>
        <w:ind w:left="2673" w:right="0" w:firstLine="0"/>
        <w:jc w:val="left"/>
        <w:rPr>
          <w:rFonts w:ascii="Cambria Math" w:hAnsi="Cambria Math" w:eastAsia="Cambria Math"/>
          <w:sz w:val="15"/>
        </w:rPr>
      </w:pPr>
      <w:r>
        <w:rPr/>
        <w:pict>
          <v:rect style="position:absolute;margin-left:301.630005pt;margin-top:1.059098pt;width:3.6pt;height:.36pt;mso-position-horizontal-relative:page;mso-position-vertical-relative:paragraph;z-index:15730688" filled="true" fillcolor="#000000" stroked="false">
            <v:fill type="solid"/>
            <w10:wrap type="none"/>
          </v:rect>
        </w:pict>
      </w:r>
      <w:r>
        <w:rPr/>
        <w:pict>
          <v:shape style="position:absolute;margin-left:291.769989pt;margin-top:5.626246pt;width:6.35pt;height:6.05pt;mso-position-horizontal-relative:page;mso-position-vertical-relative:paragraph;z-index:-15933952" type="#_x0000_t202" filled="false" stroked="false">
            <v:textbox inset="0,0,0,0">
              <w:txbxContent>
                <w:p>
                  <w:pPr>
                    <w:spacing w:line="120" w:lineRule="exact" w:before="0"/>
                    <w:ind w:left="0" w:right="0" w:firstLine="0"/>
                    <w:jc w:val="left"/>
                    <w:rPr>
                      <w:rFonts w:ascii="Cambria Math" w:eastAsia="Cambria Math"/>
                      <w:sz w:val="12"/>
                    </w:rPr>
                  </w:pPr>
                  <w:r>
                    <w:rPr>
                      <w:rFonts w:ascii="Cambria Math" w:eastAsia="Cambria Math"/>
                      <w:spacing w:val="-1"/>
                      <w:w w:val="115"/>
                      <w:sz w:val="12"/>
                    </w:rPr>
                    <w:t>𝑖,𝑡</w:t>
                  </w:r>
                </w:p>
              </w:txbxContent>
            </v:textbox>
            <w10:wrap type="none"/>
          </v:shape>
        </w:pict>
      </w:r>
      <w:r>
        <w:rPr>
          <w:rFonts w:ascii="Cambria Math" w:hAnsi="Cambria Math" w:eastAsia="Cambria Math"/>
          <w:w w:val="105"/>
          <w:sz w:val="15"/>
        </w:rPr>
        <w:t>[</w:t>
      </w:r>
      <w:r>
        <w:rPr>
          <w:rFonts w:ascii="Cambria Math" w:hAnsi="Cambria Math" w:eastAsia="Cambria Math"/>
          <w:w w:val="105"/>
          <w:position w:val="1"/>
          <w:sz w:val="15"/>
        </w:rPr>
        <w:t>(</w:t>
      </w:r>
      <w:r>
        <w:rPr>
          <w:rFonts w:ascii="Cambria Math" w:hAnsi="Cambria Math" w:eastAsia="Cambria Math"/>
          <w:w w:val="105"/>
          <w:sz w:val="15"/>
        </w:rPr>
        <w:t>𝑛−1</w:t>
      </w:r>
      <w:r>
        <w:rPr>
          <w:rFonts w:ascii="Cambria Math" w:hAnsi="Cambria Math" w:eastAsia="Cambria Math"/>
          <w:w w:val="105"/>
          <w:position w:val="1"/>
          <w:sz w:val="15"/>
        </w:rPr>
        <w:t>)</w:t>
      </w:r>
      <w:r>
        <w:rPr>
          <w:rFonts w:ascii="Cambria Math" w:hAnsi="Cambria Math" w:eastAsia="Cambria Math"/>
          <w:smallCaps/>
          <w:w w:val="105"/>
          <w:sz w:val="15"/>
        </w:rPr>
        <w:t>x</w:t>
      </w:r>
      <w:r>
        <w:rPr>
          <w:rFonts w:ascii="Cambria Math" w:hAnsi="Cambria Math" w:eastAsia="Cambria Math"/>
          <w:smallCaps w:val="0"/>
          <w:spacing w:val="-2"/>
          <w:w w:val="105"/>
          <w:sz w:val="15"/>
        </w:rPr>
        <w:t> </w:t>
      </w:r>
      <w:r>
        <w:rPr>
          <w:rFonts w:ascii="Cambria Math" w:hAnsi="Cambria Math" w:eastAsia="Cambria Math"/>
          <w:smallCaps w:val="0"/>
          <w:w w:val="105"/>
          <w:position w:val="1"/>
          <w:sz w:val="15"/>
        </w:rPr>
        <w:t>(</w:t>
      </w:r>
      <w:r>
        <w:rPr>
          <w:rFonts w:ascii="Cambria Math" w:hAnsi="Cambria Math" w:eastAsia="Cambria Math"/>
          <w:smallCaps w:val="0"/>
          <w:w w:val="105"/>
          <w:sz w:val="15"/>
        </w:rPr>
        <w:t>𝑛−2</w:t>
      </w:r>
      <w:r>
        <w:rPr>
          <w:rFonts w:ascii="Cambria Math" w:hAnsi="Cambria Math" w:eastAsia="Cambria Math"/>
          <w:smallCaps w:val="0"/>
          <w:w w:val="105"/>
          <w:position w:val="1"/>
          <w:sz w:val="15"/>
        </w:rPr>
        <w:t>)</w:t>
      </w:r>
      <w:r>
        <w:rPr>
          <w:rFonts w:ascii="Cambria Math" w:hAnsi="Cambria Math" w:eastAsia="Cambria Math"/>
          <w:smallCaps/>
          <w:w w:val="105"/>
          <w:sz w:val="15"/>
        </w:rPr>
        <w:t>x</w:t>
      </w:r>
      <w:r>
        <w:rPr>
          <w:rFonts w:ascii="Cambria Math" w:hAnsi="Cambria Math" w:eastAsia="Cambria Math"/>
          <w:smallCaps w:val="0"/>
          <w:spacing w:val="-2"/>
          <w:w w:val="105"/>
          <w:sz w:val="15"/>
        </w:rPr>
        <w:t> </w:t>
      </w:r>
      <w:r>
        <w:rPr>
          <w:rFonts w:ascii="Cambria Math" w:hAnsi="Cambria Math" w:eastAsia="Cambria Math"/>
          <w:smallCaps w:val="0"/>
          <w:w w:val="105"/>
          <w:sz w:val="15"/>
        </w:rPr>
        <w:t>(</w:t>
      </w:r>
      <w:r>
        <w:rPr>
          <w:rFonts w:ascii="Cambria Math" w:hAnsi="Cambria Math" w:eastAsia="Cambria Math"/>
          <w:smallCaps w:val="0"/>
          <w:w w:val="105"/>
          <w:position w:val="1"/>
          <w:sz w:val="15"/>
        </w:rPr>
        <w:t>∑</w:t>
      </w:r>
      <w:r>
        <w:rPr>
          <w:rFonts w:ascii="Cambria Math" w:hAnsi="Cambria Math" w:eastAsia="Cambria Math"/>
          <w:smallCaps w:val="0"/>
          <w:spacing w:val="-13"/>
          <w:w w:val="105"/>
          <w:position w:val="1"/>
          <w:sz w:val="15"/>
        </w:rPr>
        <w:t> </w:t>
      </w:r>
      <w:r>
        <w:rPr>
          <w:rFonts w:ascii="Cambria Math" w:hAnsi="Cambria Math" w:eastAsia="Cambria Math"/>
          <w:smallCaps w:val="0"/>
          <w:w w:val="105"/>
          <w:sz w:val="15"/>
        </w:rPr>
        <w:t>𝑊</w:t>
      </w:r>
      <w:r>
        <w:rPr>
          <w:rFonts w:ascii="Cambria Math" w:hAnsi="Cambria Math" w:eastAsia="Cambria Math"/>
          <w:smallCaps w:val="0"/>
          <w:w w:val="105"/>
          <w:position w:val="6"/>
          <w:sz w:val="12"/>
        </w:rPr>
        <w:t>2</w:t>
      </w:r>
      <w:r>
        <w:rPr>
          <w:rFonts w:ascii="Cambria Math" w:hAnsi="Cambria Math" w:eastAsia="Cambria Math"/>
          <w:smallCaps w:val="0"/>
          <w:spacing w:val="5"/>
          <w:w w:val="105"/>
          <w:position w:val="6"/>
          <w:sz w:val="12"/>
        </w:rPr>
        <w:t> </w:t>
      </w:r>
      <w:r>
        <w:rPr>
          <w:rFonts w:ascii="Cambria Math" w:hAnsi="Cambria Math" w:eastAsia="Cambria Math"/>
          <w:smallCaps w:val="0"/>
          <w:w w:val="105"/>
          <w:sz w:val="15"/>
        </w:rPr>
        <w:t>)</w:t>
      </w:r>
      <w:r>
        <w:rPr>
          <w:rFonts w:ascii="Cambria Math" w:hAnsi="Cambria Math" w:eastAsia="Cambria Math"/>
          <w:smallCaps w:val="0"/>
          <w:w w:val="105"/>
          <w:position w:val="4"/>
          <w:sz w:val="12"/>
        </w:rPr>
        <w:t>2</w:t>
      </w:r>
      <w:r>
        <w:rPr>
          <w:rFonts w:ascii="Cambria Math" w:hAnsi="Cambria Math" w:eastAsia="Cambria Math"/>
          <w:smallCaps w:val="0"/>
          <w:w w:val="105"/>
          <w:sz w:val="15"/>
        </w:rPr>
        <w:t>]</w:t>
      </w:r>
    </w:p>
    <w:p>
      <w:pPr>
        <w:pStyle w:val="BodyText"/>
        <w:spacing w:before="1"/>
        <w:rPr>
          <w:rFonts w:ascii="Cambria Math"/>
          <w:sz w:val="24"/>
        </w:rPr>
      </w:pPr>
      <w:r>
        <w:rPr/>
        <w:br w:type="column"/>
      </w:r>
      <w:r>
        <w:rPr>
          <w:rFonts w:ascii="Cambria Math"/>
          <w:sz w:val="24"/>
        </w:rPr>
      </w:r>
    </w:p>
    <w:p>
      <w:pPr>
        <w:pStyle w:val="BodyText"/>
        <w:spacing w:before="1"/>
        <w:ind w:right="1068"/>
        <w:jc w:val="right"/>
      </w:pPr>
      <w:r>
        <w:rPr/>
        <w:t>(1)</w:t>
      </w:r>
    </w:p>
    <w:p>
      <w:pPr>
        <w:spacing w:after="0"/>
        <w:jc w:val="right"/>
        <w:sectPr>
          <w:type w:val="continuous"/>
          <w:pgSz w:w="12240" w:h="15840"/>
          <w:pgMar w:top="1500" w:bottom="280" w:left="1720" w:right="1720"/>
          <w:cols w:num="2" w:equalWidth="0">
            <w:col w:w="4483" w:space="328"/>
            <w:col w:w="3989"/>
          </w:cols>
        </w:sect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91"/>
        <w:ind w:left="1073"/>
      </w:pPr>
      <w:r>
        <w:rPr>
          <w:position w:val="2"/>
        </w:rPr>
        <w:t>where</w:t>
      </w:r>
      <w:r>
        <w:rPr>
          <w:spacing w:val="-2"/>
          <w:position w:val="2"/>
        </w:rPr>
        <w:t> </w:t>
      </w:r>
      <w:r>
        <w:rPr>
          <w:position w:val="2"/>
        </w:rPr>
        <w:t>firm-specific</w:t>
      </w:r>
      <w:r>
        <w:rPr>
          <w:spacing w:val="-1"/>
          <w:position w:val="2"/>
        </w:rPr>
        <w:t> </w:t>
      </w:r>
      <w:r>
        <w:rPr>
          <w:position w:val="2"/>
        </w:rPr>
        <w:t>weekly</w:t>
      </w:r>
      <w:r>
        <w:rPr>
          <w:spacing w:val="-2"/>
          <w:position w:val="2"/>
        </w:rPr>
        <w:t> </w:t>
      </w:r>
      <w:r>
        <w:rPr>
          <w:position w:val="2"/>
        </w:rPr>
        <w:t>returns</w:t>
      </w:r>
      <w:r>
        <w:rPr>
          <w:spacing w:val="-1"/>
          <w:position w:val="2"/>
        </w:rPr>
        <w:t> </w:t>
      </w:r>
      <w:r>
        <w:rPr>
          <w:position w:val="2"/>
        </w:rPr>
        <w:t>(W</w:t>
      </w:r>
      <w:r>
        <w:rPr>
          <w:sz w:val="14"/>
        </w:rPr>
        <w:t>i,t</w:t>
      </w:r>
      <w:r>
        <w:rPr>
          <w:position w:val="2"/>
        </w:rPr>
        <w:t>)</w:t>
      </w:r>
      <w:r>
        <w:rPr>
          <w:spacing w:val="-3"/>
          <w:position w:val="2"/>
        </w:rPr>
        <w:t> </w:t>
      </w:r>
      <w:r>
        <w:rPr>
          <w:position w:val="2"/>
        </w:rPr>
        <w:t>are</w:t>
      </w:r>
      <w:r>
        <w:rPr>
          <w:spacing w:val="-1"/>
          <w:position w:val="2"/>
        </w:rPr>
        <w:t> </w:t>
      </w:r>
      <w:r>
        <w:rPr>
          <w:position w:val="2"/>
        </w:rPr>
        <w:t>calculated</w:t>
      </w:r>
      <w:r>
        <w:rPr>
          <w:spacing w:val="-2"/>
          <w:position w:val="2"/>
        </w:rPr>
        <w:t> </w:t>
      </w:r>
      <w:r>
        <w:rPr>
          <w:position w:val="2"/>
        </w:rPr>
        <w:t>as:</w:t>
      </w:r>
    </w:p>
    <w:p>
      <w:pPr>
        <w:pStyle w:val="BodyText"/>
        <w:spacing w:before="1"/>
        <w:rPr>
          <w:sz w:val="29"/>
        </w:rPr>
      </w:pPr>
    </w:p>
    <w:p>
      <w:pPr>
        <w:tabs>
          <w:tab w:pos="6049" w:val="left" w:leader="none"/>
        </w:tabs>
        <w:spacing w:before="0"/>
        <w:ind w:left="0" w:right="1068" w:firstLine="0"/>
        <w:jc w:val="right"/>
        <w:rPr>
          <w:sz w:val="21"/>
        </w:rPr>
      </w:pPr>
      <w:r>
        <w:rPr>
          <w:position w:val="2"/>
          <w:sz w:val="21"/>
        </w:rPr>
        <w:t>W</w:t>
      </w:r>
      <w:r>
        <w:rPr>
          <w:sz w:val="14"/>
        </w:rPr>
        <w:t>i,t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=</w:t>
      </w:r>
      <w:r>
        <w:rPr>
          <w:spacing w:val="-1"/>
          <w:position w:val="2"/>
          <w:sz w:val="21"/>
        </w:rPr>
        <w:t> </w:t>
      </w:r>
      <w:r>
        <w:rPr>
          <w:position w:val="2"/>
          <w:sz w:val="21"/>
        </w:rPr>
        <w:t>ln</w:t>
      </w:r>
      <w:r>
        <w:rPr>
          <w:spacing w:val="-1"/>
          <w:position w:val="2"/>
          <w:sz w:val="21"/>
        </w:rPr>
        <w:t> </w:t>
      </w:r>
      <w:r>
        <w:rPr>
          <w:position w:val="2"/>
          <w:sz w:val="21"/>
        </w:rPr>
        <w:t>(1+</w:t>
      </w:r>
      <w:r>
        <w:rPr>
          <w:spacing w:val="-1"/>
          <w:position w:val="2"/>
          <w:sz w:val="21"/>
        </w:rPr>
        <w:t> </w:t>
      </w:r>
      <w:r>
        <w:rPr>
          <w:position w:val="2"/>
          <w:sz w:val="21"/>
        </w:rPr>
        <w:t>ε</w:t>
      </w:r>
      <w:r>
        <w:rPr>
          <w:sz w:val="14"/>
        </w:rPr>
        <w:t>i,t</w:t>
      </w:r>
      <w:r>
        <w:rPr>
          <w:position w:val="2"/>
          <w:sz w:val="21"/>
        </w:rPr>
        <w:t>)</w:t>
        <w:tab/>
        <w:t>(2)</w:t>
      </w: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285" w:lineRule="auto"/>
        <w:ind w:left="1073" w:right="1068"/>
        <w:jc w:val="both"/>
      </w:pPr>
      <w:r>
        <w:rPr>
          <w:position w:val="2"/>
        </w:rPr>
        <w:t>with ε</w:t>
      </w:r>
      <w:r>
        <w:rPr>
          <w:sz w:val="14"/>
        </w:rPr>
        <w:t>i,t </w:t>
      </w:r>
      <w:r>
        <w:rPr>
          <w:position w:val="2"/>
        </w:rPr>
        <w:t>being residual firm-specific weekly return estimated from an expanded</w:t>
      </w:r>
      <w:r>
        <w:rPr>
          <w:spacing w:val="-50"/>
          <w:position w:val="2"/>
        </w:rPr>
        <w:t> </w:t>
      </w:r>
      <w:r>
        <w:rPr/>
        <w:t>market</w:t>
      </w:r>
      <w:r>
        <w:rPr>
          <w:spacing w:val="-1"/>
        </w:rPr>
        <w:t> </w:t>
      </w:r>
      <w:r>
        <w:rPr/>
        <w:t>model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follows:</w:t>
      </w:r>
    </w:p>
    <w:p>
      <w:pPr>
        <w:pStyle w:val="BodyText"/>
        <w:spacing w:before="4"/>
        <w:rPr>
          <w:sz w:val="25"/>
        </w:rPr>
      </w:pPr>
    </w:p>
    <w:p>
      <w:pPr>
        <w:tabs>
          <w:tab w:pos="6049" w:val="left" w:leader="none"/>
        </w:tabs>
        <w:spacing w:before="0"/>
        <w:ind w:left="0" w:right="1067" w:firstLine="0"/>
        <w:jc w:val="right"/>
        <w:rPr>
          <w:sz w:val="21"/>
        </w:rPr>
      </w:pPr>
      <w:r>
        <w:rPr>
          <w:position w:val="2"/>
          <w:sz w:val="21"/>
        </w:rPr>
        <w:t>r</w:t>
      </w:r>
      <w:r>
        <w:rPr>
          <w:sz w:val="14"/>
        </w:rPr>
        <w:t>i,t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= α</w:t>
      </w:r>
      <w:r>
        <w:rPr>
          <w:sz w:val="14"/>
        </w:rPr>
        <w:t>i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+</w:t>
      </w:r>
      <w:r>
        <w:rPr>
          <w:spacing w:val="-2"/>
          <w:position w:val="2"/>
          <w:sz w:val="21"/>
        </w:rPr>
        <w:t> </w:t>
      </w:r>
      <w:r>
        <w:rPr>
          <w:position w:val="2"/>
          <w:sz w:val="21"/>
        </w:rPr>
        <w:t>β</w:t>
      </w:r>
      <w:r>
        <w:rPr>
          <w:sz w:val="14"/>
        </w:rPr>
        <w:t>1,i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r</w:t>
      </w:r>
      <w:r>
        <w:rPr>
          <w:sz w:val="14"/>
        </w:rPr>
        <w:t>m,t</w:t>
      </w:r>
      <w:r>
        <w:rPr>
          <w:position w:val="2"/>
          <w:sz w:val="21"/>
        </w:rPr>
        <w:t>+</w:t>
      </w:r>
      <w:r>
        <w:rPr>
          <w:spacing w:val="1"/>
          <w:position w:val="2"/>
          <w:sz w:val="21"/>
        </w:rPr>
        <w:t> </w:t>
      </w:r>
      <w:r>
        <w:rPr>
          <w:position w:val="2"/>
          <w:sz w:val="21"/>
        </w:rPr>
        <w:t>β</w:t>
      </w:r>
      <w:r>
        <w:rPr>
          <w:sz w:val="14"/>
        </w:rPr>
        <w:t>2,i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r</w:t>
      </w:r>
      <w:r>
        <w:rPr>
          <w:sz w:val="14"/>
        </w:rPr>
        <w:t>m,t-1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+</w:t>
      </w:r>
      <w:r>
        <w:rPr>
          <w:spacing w:val="-2"/>
          <w:position w:val="2"/>
          <w:sz w:val="21"/>
        </w:rPr>
        <w:t> </w:t>
      </w:r>
      <w:r>
        <w:rPr>
          <w:position w:val="2"/>
          <w:sz w:val="21"/>
        </w:rPr>
        <w:t>β</w:t>
      </w:r>
      <w:r>
        <w:rPr>
          <w:sz w:val="14"/>
        </w:rPr>
        <w:t>3,i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r</w:t>
      </w:r>
      <w:r>
        <w:rPr>
          <w:sz w:val="14"/>
        </w:rPr>
        <w:t>m,t-2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+</w:t>
      </w:r>
      <w:r>
        <w:rPr>
          <w:spacing w:val="1"/>
          <w:position w:val="2"/>
          <w:sz w:val="21"/>
        </w:rPr>
        <w:t> </w:t>
      </w:r>
      <w:r>
        <w:rPr>
          <w:position w:val="2"/>
          <w:sz w:val="21"/>
        </w:rPr>
        <w:t>β</w:t>
      </w:r>
      <w:r>
        <w:rPr>
          <w:sz w:val="14"/>
        </w:rPr>
        <w:t>4,i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r</w:t>
      </w:r>
      <w:r>
        <w:rPr>
          <w:sz w:val="14"/>
        </w:rPr>
        <w:t>m,t+1</w:t>
      </w:r>
      <w:r>
        <w:rPr>
          <w:spacing w:val="15"/>
          <w:sz w:val="14"/>
        </w:rPr>
        <w:t> </w:t>
      </w:r>
      <w:r>
        <w:rPr>
          <w:position w:val="2"/>
          <w:sz w:val="21"/>
        </w:rPr>
        <w:t>+</w:t>
      </w:r>
      <w:r>
        <w:rPr>
          <w:spacing w:val="1"/>
          <w:position w:val="2"/>
          <w:sz w:val="21"/>
        </w:rPr>
        <w:t> </w:t>
      </w:r>
      <w:r>
        <w:rPr>
          <w:position w:val="2"/>
          <w:sz w:val="21"/>
        </w:rPr>
        <w:t>β</w:t>
      </w:r>
      <w:r>
        <w:rPr>
          <w:sz w:val="14"/>
        </w:rPr>
        <w:t>5,i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r</w:t>
      </w:r>
      <w:r>
        <w:rPr>
          <w:sz w:val="14"/>
        </w:rPr>
        <w:t>m,t+2</w:t>
      </w:r>
      <w:r>
        <w:rPr>
          <w:spacing w:val="17"/>
          <w:sz w:val="14"/>
        </w:rPr>
        <w:t> </w:t>
      </w:r>
      <w:r>
        <w:rPr>
          <w:position w:val="2"/>
          <w:sz w:val="21"/>
        </w:rPr>
        <w:t>+ ε</w:t>
      </w:r>
      <w:r>
        <w:rPr>
          <w:sz w:val="14"/>
        </w:rPr>
        <w:t>i,t</w:t>
        <w:tab/>
      </w:r>
      <w:r>
        <w:rPr>
          <w:position w:val="2"/>
          <w:sz w:val="21"/>
        </w:rPr>
        <w:t>(3)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285" w:lineRule="auto"/>
        <w:ind w:left="1073" w:right="1067"/>
        <w:jc w:val="both"/>
      </w:pPr>
      <w:r>
        <w:rPr>
          <w:position w:val="2"/>
        </w:rPr>
        <w:t>where r</w:t>
      </w:r>
      <w:r>
        <w:rPr>
          <w:sz w:val="14"/>
        </w:rPr>
        <w:t>i,t </w:t>
      </w:r>
      <w:r>
        <w:rPr>
          <w:position w:val="2"/>
        </w:rPr>
        <w:t>is the Wednesday to Wednesday return on stock i in week t and r</w:t>
      </w:r>
      <w:r>
        <w:rPr>
          <w:sz w:val="14"/>
        </w:rPr>
        <w:t>m,t</w:t>
      </w:r>
      <w:r>
        <w:rPr>
          <w:spacing w:val="1"/>
          <w:sz w:val="14"/>
        </w:rPr>
        <w:t> </w:t>
      </w:r>
      <w:r>
        <w:rPr/>
        <w:t>being</w:t>
      </w:r>
      <w:r>
        <w:rPr>
          <w:spacing w:val="-1"/>
        </w:rPr>
        <w:t> </w:t>
      </w:r>
      <w:r>
        <w:rPr/>
        <w:t>market</w:t>
      </w:r>
      <w:r>
        <w:rPr>
          <w:spacing w:val="-1"/>
        </w:rPr>
        <w:t> </w:t>
      </w:r>
      <w:r>
        <w:rPr/>
        <w:t>index</w:t>
      </w:r>
      <w:r>
        <w:rPr>
          <w:spacing w:val="-3"/>
        </w:rPr>
        <w:t> </w:t>
      </w:r>
      <w:r>
        <w:rPr/>
        <w:t>return for</w:t>
      </w:r>
      <w:r>
        <w:rPr>
          <w:spacing w:val="-1"/>
        </w:rPr>
        <w:t> </w:t>
      </w:r>
      <w:r>
        <w:rPr/>
        <w:t>the country in</w:t>
      </w:r>
      <w:r>
        <w:rPr>
          <w:spacing w:val="-3"/>
        </w:rPr>
        <w:t> </w:t>
      </w:r>
      <w:r>
        <w:rPr/>
        <w:t>week</w:t>
      </w:r>
      <w:r>
        <w:rPr>
          <w:spacing w:val="-3"/>
        </w:rPr>
        <w:t> </w:t>
      </w:r>
      <w:r>
        <w:rPr/>
        <w:t>t.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30"/>
        </w:rPr>
      </w:pPr>
    </w:p>
    <w:p>
      <w:pPr>
        <w:pStyle w:val="Heading2"/>
      </w:pPr>
      <w:r>
        <w:rPr/>
        <w:t>Results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Discussion</w:t>
      </w:r>
    </w:p>
    <w:p>
      <w:pPr>
        <w:pStyle w:val="BodyText"/>
        <w:spacing w:before="3"/>
        <w:rPr>
          <w:b/>
          <w:sz w:val="31"/>
        </w:rPr>
      </w:pPr>
    </w:p>
    <w:p>
      <w:pPr>
        <w:pStyle w:val="Heading4"/>
      </w:pPr>
      <w:r>
        <w:rPr/>
        <w:t>Descriptive</w:t>
      </w:r>
      <w:r>
        <w:rPr>
          <w:spacing w:val="-5"/>
        </w:rPr>
        <w:t> </w:t>
      </w:r>
      <w:r>
        <w:rPr/>
        <w:t>Statistics</w:t>
      </w:r>
    </w:p>
    <w:p>
      <w:pPr>
        <w:pStyle w:val="BodyText"/>
        <w:spacing w:before="9"/>
        <w:rPr>
          <w:b/>
          <w:sz w:val="30"/>
        </w:rPr>
      </w:pPr>
    </w:p>
    <w:p>
      <w:pPr>
        <w:pStyle w:val="BodyText"/>
        <w:spacing w:line="288" w:lineRule="auto"/>
        <w:ind w:left="1073" w:right="1067"/>
        <w:jc w:val="both"/>
      </w:pPr>
      <w:r>
        <w:rPr/>
        <w:t>Table 1 presents descriptive statistics for the dependent variable NCSKEW for</w:t>
      </w:r>
      <w:r>
        <w:rPr>
          <w:spacing w:val="-50"/>
        </w:rPr>
        <w:t> </w:t>
      </w:r>
      <w:r>
        <w:rPr/>
        <w:t>the whole sample and by industry. Positive mean values for the total sample</w:t>
      </w:r>
      <w:r>
        <w:rPr>
          <w:spacing w:val="1"/>
        </w:rPr>
        <w:t> </w:t>
      </w:r>
      <w:r>
        <w:rPr/>
        <w:t>suggest</w:t>
      </w:r>
      <w:r>
        <w:rPr>
          <w:spacing w:val="-11"/>
        </w:rPr>
        <w:t> </w:t>
      </w:r>
      <w:r>
        <w:rPr/>
        <w:t>that</w:t>
      </w:r>
      <w:r>
        <w:rPr>
          <w:spacing w:val="-11"/>
        </w:rPr>
        <w:t> </w:t>
      </w:r>
      <w:r>
        <w:rPr/>
        <w:t>individual</w:t>
      </w:r>
      <w:r>
        <w:rPr>
          <w:spacing w:val="-11"/>
        </w:rPr>
        <w:t> </w:t>
      </w:r>
      <w:r>
        <w:rPr/>
        <w:t>stocks</w:t>
      </w:r>
      <w:r>
        <w:rPr>
          <w:spacing w:val="-12"/>
        </w:rPr>
        <w:t> </w:t>
      </w:r>
      <w:r>
        <w:rPr/>
        <w:t>were,</w:t>
      </w:r>
      <w:r>
        <w:rPr>
          <w:spacing w:val="-12"/>
        </w:rPr>
        <w:t> </w:t>
      </w:r>
      <w:r>
        <w:rPr/>
        <w:t>on</w:t>
      </w:r>
      <w:r>
        <w:rPr>
          <w:spacing w:val="-12"/>
        </w:rPr>
        <w:t> </w:t>
      </w:r>
      <w:r>
        <w:rPr/>
        <w:t>average,</w:t>
      </w:r>
      <w:r>
        <w:rPr>
          <w:spacing w:val="-12"/>
        </w:rPr>
        <w:t> </w:t>
      </w:r>
      <w:r>
        <w:rPr/>
        <w:t>negatively</w:t>
      </w:r>
      <w:r>
        <w:rPr>
          <w:spacing w:val="-9"/>
        </w:rPr>
        <w:t> </w:t>
      </w:r>
      <w:r>
        <w:rPr/>
        <w:t>skewed.</w:t>
      </w:r>
      <w:r>
        <w:rPr>
          <w:spacing w:val="-12"/>
        </w:rPr>
        <w:t> </w:t>
      </w:r>
      <w:r>
        <w:rPr/>
        <w:t>Researchers</w:t>
      </w:r>
      <w:r>
        <w:rPr>
          <w:spacing w:val="-50"/>
        </w:rPr>
        <w:t> </w:t>
      </w:r>
      <w:r>
        <w:rPr/>
        <w:t>also examined the mean and median NCSKEW for the whole sample period—</w:t>
      </w:r>
      <w:r>
        <w:rPr>
          <w:spacing w:val="1"/>
        </w:rPr>
        <w:t> </w:t>
      </w:r>
      <w:r>
        <w:rPr/>
        <w:t>during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election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post-election</w:t>
      </w:r>
      <w:r>
        <w:rPr>
          <w:spacing w:val="-9"/>
        </w:rPr>
        <w:t> </w:t>
      </w:r>
      <w:r>
        <w:rPr/>
        <w:t>periods—to</w:t>
      </w:r>
      <w:r>
        <w:rPr>
          <w:spacing w:val="-9"/>
        </w:rPr>
        <w:t> </w:t>
      </w:r>
      <w:r>
        <w:rPr/>
        <w:t>reveal</w:t>
      </w:r>
      <w:r>
        <w:rPr>
          <w:spacing w:val="-11"/>
        </w:rPr>
        <w:t> </w:t>
      </w:r>
      <w:r>
        <w:rPr/>
        <w:t>statistically</w:t>
      </w:r>
      <w:r>
        <w:rPr>
          <w:spacing w:val="-9"/>
        </w:rPr>
        <w:t> </w:t>
      </w:r>
      <w:r>
        <w:rPr/>
        <w:t>movements</w:t>
      </w:r>
      <w:r>
        <w:rPr>
          <w:spacing w:val="-51"/>
        </w:rPr>
        <w:t> </w:t>
      </w:r>
      <w:r>
        <w:rPr/>
        <w:t>of</w:t>
      </w:r>
      <w:r>
        <w:rPr>
          <w:spacing w:val="-2"/>
        </w:rPr>
        <w:t> </w:t>
      </w:r>
      <w:r>
        <w:rPr/>
        <w:t>skewness</w:t>
      </w:r>
      <w:r>
        <w:rPr>
          <w:position w:val="7"/>
          <w:sz w:val="14"/>
        </w:rPr>
        <w:t>4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  <w:r>
        <w:rPr/>
        <w:pict>
          <v:rect style="position:absolute;margin-left:139.699997pt;margin-top:17.407911pt;width:144.020pt;height:.47998pt;mso-position-horizontal-relative:page;mso-position-vertical-relative:paragraph;z-index:-157271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100"/>
        <w:ind w:left="1073" w:right="0" w:firstLine="0"/>
        <w:jc w:val="left"/>
        <w:rPr>
          <w:sz w:val="17"/>
        </w:rPr>
      </w:pPr>
      <w:r>
        <w:rPr>
          <w:sz w:val="17"/>
          <w:vertAlign w:val="superscript"/>
        </w:rPr>
        <w:t>4</w:t>
      </w:r>
      <w:r>
        <w:rPr>
          <w:spacing w:val="-2"/>
          <w:sz w:val="17"/>
          <w:vertAlign w:val="baseline"/>
        </w:rPr>
        <w:t> </w:t>
      </w:r>
      <w:r>
        <w:rPr>
          <w:sz w:val="17"/>
          <w:vertAlign w:val="baseline"/>
        </w:rPr>
        <w:t>NCSKEW,</w:t>
      </w:r>
      <w:r>
        <w:rPr>
          <w:spacing w:val="-1"/>
          <w:sz w:val="17"/>
          <w:vertAlign w:val="baseline"/>
        </w:rPr>
        <w:t> </w:t>
      </w:r>
      <w:r>
        <w:rPr>
          <w:sz w:val="17"/>
          <w:vertAlign w:val="baseline"/>
        </w:rPr>
        <w:t>article</w:t>
      </w:r>
      <w:r>
        <w:rPr>
          <w:spacing w:val="-3"/>
          <w:sz w:val="17"/>
          <w:vertAlign w:val="baseline"/>
        </w:rPr>
        <w:t> </w:t>
      </w:r>
      <w:r>
        <w:rPr>
          <w:sz w:val="17"/>
          <w:vertAlign w:val="baseline"/>
        </w:rPr>
        <w:t>10, Vol</w:t>
      </w:r>
      <w:r>
        <w:rPr>
          <w:spacing w:val="-1"/>
          <w:sz w:val="17"/>
          <w:vertAlign w:val="baseline"/>
        </w:rPr>
        <w:t> </w:t>
      </w:r>
      <w:r>
        <w:rPr>
          <w:sz w:val="17"/>
          <w:vertAlign w:val="baseline"/>
        </w:rPr>
        <w:t>2.</w:t>
      </w:r>
    </w:p>
    <w:p>
      <w:pPr>
        <w:spacing w:after="0"/>
        <w:jc w:val="left"/>
        <w:rPr>
          <w:sz w:val="17"/>
        </w:rPr>
        <w:sectPr>
          <w:type w:val="continuous"/>
          <w:pgSz w:w="12240" w:h="15840"/>
          <w:pgMar w:top="1500" w:bottom="280" w:left="1720" w:right="1720"/>
        </w:sectPr>
      </w:pPr>
    </w:p>
    <w:p>
      <w:pPr>
        <w:pStyle w:val="BodyText"/>
        <w:spacing w:before="2"/>
        <w:rPr>
          <w:sz w:val="12"/>
        </w:rPr>
      </w:pPr>
    </w:p>
    <w:p>
      <w:pPr>
        <w:spacing w:before="91"/>
        <w:ind w:left="2227" w:right="2224" w:firstLine="0"/>
        <w:jc w:val="center"/>
        <w:rPr>
          <w:sz w:val="22"/>
        </w:rPr>
      </w:pPr>
      <w:r>
        <w:rPr>
          <w:b/>
          <w:sz w:val="22"/>
        </w:rPr>
        <w:t>Table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1.</w:t>
      </w:r>
      <w:r>
        <w:rPr>
          <w:b/>
          <w:spacing w:val="-3"/>
          <w:sz w:val="22"/>
        </w:rPr>
        <w:t> </w:t>
      </w:r>
      <w:r>
        <w:rPr>
          <w:sz w:val="22"/>
        </w:rPr>
        <w:t>Descriptive</w:t>
      </w:r>
      <w:r>
        <w:rPr>
          <w:spacing w:val="-2"/>
          <w:sz w:val="22"/>
        </w:rPr>
        <w:t> </w:t>
      </w:r>
      <w:r>
        <w:rPr>
          <w:sz w:val="22"/>
        </w:rPr>
        <w:t>statistics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</w:p>
    <w:tbl>
      <w:tblPr>
        <w:tblW w:w="0" w:type="auto"/>
        <w:jc w:val="left"/>
        <w:tblInd w:w="1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7"/>
        <w:gridCol w:w="1238"/>
        <w:gridCol w:w="1133"/>
        <w:gridCol w:w="1445"/>
        <w:gridCol w:w="1047"/>
      </w:tblGrid>
      <w:tr>
        <w:trPr>
          <w:trHeight w:val="249" w:hRule="atLeast"/>
        </w:trPr>
        <w:tc>
          <w:tcPr>
            <w:tcW w:w="1097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Mean</w:t>
            </w: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Median</w:t>
            </w:r>
          </w:p>
        </w:tc>
        <w:tc>
          <w:tcPr>
            <w:tcW w:w="1047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1097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Sample</w:t>
            </w:r>
          </w:p>
        </w:tc>
        <w:tc>
          <w:tcPr>
            <w:tcW w:w="1133" w:type="dxa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Election</w:t>
            </w:r>
          </w:p>
        </w:tc>
        <w:tc>
          <w:tcPr>
            <w:tcW w:w="1445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Sample</w:t>
            </w:r>
          </w:p>
        </w:tc>
        <w:tc>
          <w:tcPr>
            <w:tcW w:w="1047" w:type="dxa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Election</w:t>
            </w:r>
          </w:p>
        </w:tc>
      </w:tr>
      <w:tr>
        <w:trPr>
          <w:trHeight w:val="249" w:hRule="atLeast"/>
        </w:trPr>
        <w:tc>
          <w:tcPr>
            <w:tcW w:w="1097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Agriculture</w:t>
            </w:r>
          </w:p>
        </w:tc>
        <w:tc>
          <w:tcPr>
            <w:tcW w:w="1238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−0.056</w:t>
            </w:r>
          </w:p>
        </w:tc>
        <w:tc>
          <w:tcPr>
            <w:tcW w:w="1133" w:type="dxa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−0.040</w:t>
            </w:r>
          </w:p>
        </w:tc>
        <w:tc>
          <w:tcPr>
            <w:tcW w:w="1445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−0.072</w:t>
            </w:r>
          </w:p>
        </w:tc>
        <w:tc>
          <w:tcPr>
            <w:tcW w:w="1047" w:type="dxa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−0.023</w:t>
            </w:r>
          </w:p>
        </w:tc>
      </w:tr>
      <w:tr>
        <w:trPr>
          <w:trHeight w:val="249" w:hRule="atLeast"/>
        </w:trPr>
        <w:tc>
          <w:tcPr>
            <w:tcW w:w="1097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Property</w:t>
            </w:r>
          </w:p>
        </w:tc>
        <w:tc>
          <w:tcPr>
            <w:tcW w:w="1238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0.004</w:t>
            </w:r>
          </w:p>
        </w:tc>
        <w:tc>
          <w:tcPr>
            <w:tcW w:w="1133" w:type="dxa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−0.245</w:t>
            </w:r>
          </w:p>
        </w:tc>
        <w:tc>
          <w:tcPr>
            <w:tcW w:w="1445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0.027</w:t>
            </w:r>
          </w:p>
        </w:tc>
        <w:tc>
          <w:tcPr>
            <w:tcW w:w="1047" w:type="dxa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−0.034</w:t>
            </w:r>
          </w:p>
        </w:tc>
      </w:tr>
      <w:tr>
        <w:trPr>
          <w:trHeight w:val="246" w:hRule="atLeast"/>
        </w:trPr>
        <w:tc>
          <w:tcPr>
            <w:tcW w:w="1097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Others</w:t>
            </w:r>
          </w:p>
        </w:tc>
        <w:tc>
          <w:tcPr>
            <w:tcW w:w="1238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0.390</w:t>
            </w:r>
          </w:p>
        </w:tc>
        <w:tc>
          <w:tcPr>
            <w:tcW w:w="1133" w:type="dxa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0.309</w:t>
            </w:r>
          </w:p>
        </w:tc>
        <w:tc>
          <w:tcPr>
            <w:tcW w:w="1445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0.178</w:t>
            </w:r>
          </w:p>
        </w:tc>
        <w:tc>
          <w:tcPr>
            <w:tcW w:w="1047" w:type="dxa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0.162</w:t>
            </w:r>
          </w:p>
        </w:tc>
      </w:tr>
    </w:tbl>
    <w:p>
      <w:pPr>
        <w:pStyle w:val="BodyText"/>
        <w:spacing w:before="7"/>
        <w:rPr>
          <w:sz w:val="26"/>
        </w:rPr>
      </w:pPr>
    </w:p>
    <w:p>
      <w:pPr>
        <w:pStyle w:val="BodyText"/>
        <w:spacing w:line="288" w:lineRule="auto"/>
        <w:ind w:left="1073" w:right="1069" w:firstLine="360"/>
        <w:jc w:val="both"/>
      </w:pPr>
      <w:r>
        <w:rPr/>
        <w:t>The following figure (Figure 1), introduces the ideological distribution of</w:t>
      </w:r>
      <w:r>
        <w:rPr>
          <w:spacing w:val="1"/>
        </w:rPr>
        <w:t> </w:t>
      </w:r>
      <w:r>
        <w:rPr/>
        <w:t>those</w:t>
      </w:r>
      <w:r>
        <w:rPr>
          <w:spacing w:val="-2"/>
        </w:rPr>
        <w:t> </w:t>
      </w:r>
      <w:r>
        <w:rPr/>
        <w:t>parties</w:t>
      </w:r>
      <w:r>
        <w:rPr>
          <w:spacing w:val="-1"/>
        </w:rPr>
        <w:t> </w:t>
      </w:r>
      <w:r>
        <w:rPr/>
        <w:t>in the political</w:t>
      </w:r>
      <w:r>
        <w:rPr>
          <w:spacing w:val="-2"/>
        </w:rPr>
        <w:t> </w:t>
      </w:r>
      <w:r>
        <w:rPr/>
        <w:t>spectrum.</w:t>
      </w:r>
    </w:p>
    <w:p>
      <w:pPr>
        <w:pStyle w:val="BodyText"/>
        <w:spacing w:before="7"/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2390662</wp:posOffset>
            </wp:positionH>
            <wp:positionV relativeFrom="paragraph">
              <wp:posOffset>182927</wp:posOffset>
            </wp:positionV>
            <wp:extent cx="2980178" cy="2031491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0178" cy="2031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25"/>
        </w:rPr>
      </w:pPr>
    </w:p>
    <w:p>
      <w:pPr>
        <w:spacing w:before="0"/>
        <w:ind w:left="1073" w:right="0" w:firstLine="0"/>
        <w:jc w:val="left"/>
        <w:rPr>
          <w:sz w:val="19"/>
        </w:rPr>
      </w:pPr>
      <w:r>
        <w:rPr>
          <w:b/>
          <w:sz w:val="19"/>
        </w:rPr>
        <w:t>Figure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1. </w:t>
      </w:r>
      <w:r>
        <w:rPr>
          <w:sz w:val="19"/>
        </w:rPr>
        <w:t>Position</w:t>
      </w:r>
      <w:r>
        <w:rPr>
          <w:spacing w:val="-2"/>
          <w:sz w:val="19"/>
        </w:rPr>
        <w:t> </w:t>
      </w:r>
      <w:r>
        <w:rPr>
          <w:sz w:val="19"/>
        </w:rPr>
        <w:t>of</w:t>
      </w:r>
      <w:r>
        <w:rPr>
          <w:spacing w:val="-2"/>
          <w:sz w:val="19"/>
        </w:rPr>
        <w:t> </w:t>
      </w:r>
      <w:r>
        <w:rPr>
          <w:sz w:val="19"/>
        </w:rPr>
        <w:t>the</w:t>
      </w:r>
      <w:r>
        <w:rPr>
          <w:spacing w:val="-2"/>
          <w:sz w:val="19"/>
        </w:rPr>
        <w:t> </w:t>
      </w:r>
      <w:r>
        <w:rPr>
          <w:sz w:val="19"/>
        </w:rPr>
        <w:t>main political</w:t>
      </w:r>
      <w:r>
        <w:rPr>
          <w:spacing w:val="-1"/>
          <w:sz w:val="19"/>
        </w:rPr>
        <w:t> </w:t>
      </w:r>
      <w:r>
        <w:rPr>
          <w:sz w:val="19"/>
        </w:rPr>
        <w:t>parties.</w:t>
      </w:r>
    </w:p>
    <w:p>
      <w:pPr>
        <w:pStyle w:val="BodyText"/>
        <w:spacing w:before="2"/>
        <w:rPr>
          <w:sz w:val="17"/>
        </w:rPr>
      </w:pPr>
    </w:p>
    <w:p>
      <w:pPr>
        <w:pStyle w:val="BodyText"/>
        <w:spacing w:line="288" w:lineRule="auto"/>
        <w:ind w:left="1073" w:right="1071" w:firstLine="360"/>
        <w:jc w:val="both"/>
      </w:pPr>
      <w:r>
        <w:rPr/>
        <w:t>For mining; property, real estate, and construction; transportation, utilities,</w:t>
      </w:r>
      <w:r>
        <w:rPr>
          <w:spacing w:val="-50"/>
        </w:rPr>
        <w:t> </w:t>
      </w:r>
      <w:r>
        <w:rPr/>
        <w:t>and infrastructure; and miscellaneous industries, the election period tended to</w:t>
      </w:r>
      <w:r>
        <w:rPr>
          <w:spacing w:val="1"/>
        </w:rPr>
        <w:t> </w:t>
      </w:r>
      <w:r>
        <w:rPr/>
        <w:t>reduce</w:t>
      </w:r>
      <w:r>
        <w:rPr>
          <w:spacing w:val="-1"/>
        </w:rPr>
        <w:t> </w:t>
      </w:r>
      <w:r>
        <w:rPr/>
        <w:t>crash risk,</w:t>
      </w:r>
      <w:r>
        <w:rPr>
          <w:spacing w:val="-3"/>
        </w:rPr>
        <w:t> </w:t>
      </w:r>
      <w:r>
        <w:rPr/>
        <w:t>but</w:t>
      </w:r>
      <w:r>
        <w:rPr>
          <w:spacing w:val="-2"/>
        </w:rPr>
        <w:t> </w:t>
      </w:r>
      <w:r>
        <w:rPr/>
        <w:t>the post-election period</w:t>
      </w:r>
      <w:r>
        <w:rPr>
          <w:spacing w:val="-1"/>
        </w:rPr>
        <w:t> </w:t>
      </w:r>
      <w:r>
        <w:rPr/>
        <w:t>tended to increase</w:t>
      </w:r>
      <w:r>
        <w:rPr>
          <w:spacing w:val="-1"/>
        </w:rPr>
        <w:t> </w:t>
      </w:r>
      <w:r>
        <w:rPr/>
        <w:t>it.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31"/>
        </w:rPr>
      </w:pPr>
    </w:p>
    <w:p>
      <w:pPr>
        <w:pStyle w:val="Heading4"/>
      </w:pPr>
      <w:r>
        <w:rPr/>
        <w:t>Regression</w:t>
      </w:r>
      <w:r>
        <w:rPr>
          <w:spacing w:val="-3"/>
        </w:rPr>
        <w:t> </w:t>
      </w:r>
      <w:r>
        <w:rPr/>
        <w:t>Results</w:t>
      </w:r>
    </w:p>
    <w:p>
      <w:pPr>
        <w:pStyle w:val="BodyText"/>
        <w:spacing w:before="9"/>
        <w:rPr>
          <w:b/>
          <w:sz w:val="30"/>
        </w:rPr>
      </w:pPr>
    </w:p>
    <w:p>
      <w:pPr>
        <w:pStyle w:val="BodyText"/>
        <w:spacing w:line="288" w:lineRule="auto" w:before="1"/>
        <w:ind w:left="1073" w:right="1071"/>
        <w:jc w:val="both"/>
      </w:pPr>
      <w:r>
        <w:rPr/>
        <w:t>To test national elections’ effect on crash risk, researchers regressed firm-</w:t>
      </w:r>
      <w:r>
        <w:rPr>
          <w:spacing w:val="1"/>
        </w:rPr>
        <w:t> </w:t>
      </w:r>
      <w:r>
        <w:rPr/>
        <w:t>specific negative return skewness on indicator variables that captured national</w:t>
      </w:r>
      <w:r>
        <w:rPr>
          <w:spacing w:val="1"/>
        </w:rPr>
        <w:t> </w:t>
      </w:r>
      <w:r>
        <w:rPr/>
        <w:t>elections</w:t>
      </w:r>
      <w:r>
        <w:rPr>
          <w:spacing w:val="-1"/>
        </w:rPr>
        <w:t> </w:t>
      </w:r>
      <w:r>
        <w:rPr/>
        <w:t>along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control</w:t>
      </w:r>
      <w:r>
        <w:rPr>
          <w:spacing w:val="-4"/>
        </w:rPr>
        <w:t> </w:t>
      </w:r>
      <w:r>
        <w:rPr/>
        <w:t>variables,</w:t>
      </w:r>
      <w:r>
        <w:rPr>
          <w:spacing w:val="-1"/>
        </w:rPr>
        <w:t> </w:t>
      </w:r>
      <w:r>
        <w:rPr/>
        <w:t>with the</w:t>
      </w:r>
      <w:r>
        <w:rPr>
          <w:spacing w:val="-1"/>
        </w:rPr>
        <w:t> </w:t>
      </w:r>
      <w:r>
        <w:rPr/>
        <w:t>model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follows:</w:t>
      </w:r>
    </w:p>
    <w:p>
      <w:pPr>
        <w:spacing w:after="0" w:line="288" w:lineRule="auto"/>
        <w:jc w:val="both"/>
        <w:sectPr>
          <w:pgSz w:w="12240" w:h="15840"/>
          <w:pgMar w:header="2141" w:footer="0" w:top="2360" w:bottom="280" w:left="1720" w:right="1720"/>
        </w:sectPr>
      </w:pPr>
    </w:p>
    <w:p>
      <w:pPr>
        <w:pStyle w:val="BodyText"/>
        <w:spacing w:before="1"/>
        <w:rPr>
          <w:sz w:val="12"/>
        </w:rPr>
      </w:pPr>
    </w:p>
    <w:p>
      <w:pPr>
        <w:tabs>
          <w:tab w:pos="7483" w:val="left" w:leader="none"/>
        </w:tabs>
        <w:spacing w:before="91"/>
        <w:ind w:left="1433" w:right="0" w:firstLine="0"/>
        <w:jc w:val="left"/>
        <w:rPr>
          <w:sz w:val="21"/>
        </w:rPr>
      </w:pPr>
      <w:r>
        <w:rPr>
          <w:position w:val="2"/>
          <w:sz w:val="21"/>
        </w:rPr>
        <w:t>NCSKEW</w:t>
      </w:r>
      <w:r>
        <w:rPr>
          <w:sz w:val="14"/>
        </w:rPr>
        <w:t>i,t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=</w:t>
      </w:r>
      <w:r>
        <w:rPr>
          <w:spacing w:val="-2"/>
          <w:position w:val="2"/>
          <w:sz w:val="21"/>
        </w:rPr>
        <w:t> </w:t>
      </w:r>
      <w:r>
        <w:rPr>
          <w:position w:val="2"/>
          <w:sz w:val="21"/>
        </w:rPr>
        <w:t>β</w:t>
      </w:r>
      <w:r>
        <w:rPr>
          <w:sz w:val="14"/>
        </w:rPr>
        <w:t>0</w:t>
      </w:r>
      <w:r>
        <w:rPr>
          <w:spacing w:val="15"/>
          <w:sz w:val="14"/>
        </w:rPr>
        <w:t> </w:t>
      </w:r>
      <w:r>
        <w:rPr>
          <w:position w:val="2"/>
          <w:sz w:val="21"/>
        </w:rPr>
        <w:t>+</w:t>
      </w:r>
      <w:r>
        <w:rPr>
          <w:spacing w:val="1"/>
          <w:position w:val="2"/>
          <w:sz w:val="21"/>
        </w:rPr>
        <w:t> </w:t>
      </w:r>
      <w:r>
        <w:rPr>
          <w:position w:val="2"/>
          <w:sz w:val="21"/>
        </w:rPr>
        <w:t>β</w:t>
      </w:r>
      <w:r>
        <w:rPr>
          <w:sz w:val="14"/>
        </w:rPr>
        <w:t>1</w:t>
      </w:r>
      <w:r>
        <w:rPr>
          <w:spacing w:val="16"/>
          <w:sz w:val="14"/>
        </w:rPr>
        <w:t> </w:t>
      </w:r>
      <w:r>
        <w:rPr>
          <w:position w:val="2"/>
          <w:sz w:val="21"/>
        </w:rPr>
        <w:t>x</w:t>
      </w:r>
      <w:r>
        <w:rPr>
          <w:spacing w:val="-3"/>
          <w:position w:val="2"/>
          <w:sz w:val="21"/>
        </w:rPr>
        <w:t> </w:t>
      </w:r>
      <w:r>
        <w:rPr>
          <w:position w:val="2"/>
          <w:sz w:val="21"/>
        </w:rPr>
        <w:t>ELECTION</w:t>
      </w:r>
      <w:r>
        <w:rPr>
          <w:sz w:val="14"/>
        </w:rPr>
        <w:t>t</w:t>
      </w:r>
      <w:r>
        <w:rPr>
          <w:spacing w:val="17"/>
          <w:sz w:val="14"/>
        </w:rPr>
        <w:t> </w:t>
      </w:r>
      <w:r>
        <w:rPr>
          <w:position w:val="2"/>
          <w:sz w:val="21"/>
        </w:rPr>
        <w:t>+</w:t>
      </w:r>
      <w:r>
        <w:rPr>
          <w:spacing w:val="-2"/>
          <w:position w:val="2"/>
          <w:sz w:val="21"/>
        </w:rPr>
        <w:t> </w:t>
      </w:r>
      <w:r>
        <w:rPr>
          <w:position w:val="2"/>
          <w:sz w:val="21"/>
        </w:rPr>
        <w:t>β</w:t>
      </w:r>
      <w:r>
        <w:rPr>
          <w:sz w:val="14"/>
        </w:rPr>
        <w:t>2</w:t>
      </w:r>
      <w:r>
        <w:rPr>
          <w:spacing w:val="17"/>
          <w:sz w:val="14"/>
        </w:rPr>
        <w:t> </w:t>
      </w:r>
      <w:r>
        <w:rPr>
          <w:position w:val="2"/>
          <w:sz w:val="21"/>
        </w:rPr>
        <w:t>x</w:t>
      </w:r>
      <w:r>
        <w:rPr>
          <w:spacing w:val="-1"/>
          <w:position w:val="2"/>
          <w:sz w:val="21"/>
        </w:rPr>
        <w:t> </w:t>
      </w:r>
      <w:r>
        <w:rPr>
          <w:position w:val="2"/>
          <w:sz w:val="21"/>
        </w:rPr>
        <w:t>POST</w:t>
      </w:r>
      <w:r>
        <w:rPr>
          <w:sz w:val="14"/>
        </w:rPr>
        <w:t>t</w:t>
      </w:r>
      <w:r>
        <w:rPr>
          <w:spacing w:val="15"/>
          <w:sz w:val="14"/>
        </w:rPr>
        <w:t> </w:t>
      </w:r>
      <w:r>
        <w:rPr>
          <w:position w:val="2"/>
          <w:sz w:val="21"/>
        </w:rPr>
        <w:t>+</w:t>
      </w:r>
      <w:r>
        <w:rPr>
          <w:spacing w:val="1"/>
          <w:position w:val="2"/>
          <w:sz w:val="21"/>
        </w:rPr>
        <w:t> </w:t>
      </w:r>
      <w:r>
        <w:rPr>
          <w:position w:val="2"/>
          <w:sz w:val="21"/>
        </w:rPr>
        <w:t>β</w:t>
      </w:r>
      <w:r>
        <w:rPr>
          <w:sz w:val="14"/>
        </w:rPr>
        <w:t>3</w:t>
      </w:r>
      <w:r>
        <w:rPr>
          <w:spacing w:val="15"/>
          <w:sz w:val="14"/>
        </w:rPr>
        <w:t> </w:t>
      </w:r>
      <w:r>
        <w:rPr>
          <w:position w:val="2"/>
          <w:sz w:val="21"/>
        </w:rPr>
        <w:t>x</w:t>
      </w:r>
      <w:r>
        <w:rPr>
          <w:spacing w:val="-4"/>
          <w:position w:val="2"/>
          <w:sz w:val="21"/>
        </w:rPr>
        <w:t> </w:t>
      </w:r>
      <w:r>
        <w:rPr>
          <w:position w:val="2"/>
          <w:sz w:val="21"/>
        </w:rPr>
        <w:t>X</w:t>
      </w:r>
      <w:r>
        <w:rPr>
          <w:sz w:val="14"/>
        </w:rPr>
        <w:t>i,t-1</w:t>
      </w:r>
      <w:r>
        <w:rPr>
          <w:spacing w:val="18"/>
          <w:sz w:val="14"/>
        </w:rPr>
        <w:t> </w:t>
      </w:r>
      <w:r>
        <w:rPr>
          <w:position w:val="2"/>
          <w:sz w:val="21"/>
        </w:rPr>
        <w:t>+</w:t>
      </w:r>
      <w:r>
        <w:rPr>
          <w:spacing w:val="1"/>
          <w:position w:val="2"/>
          <w:sz w:val="21"/>
        </w:rPr>
        <w:t> </w:t>
      </w:r>
      <w:r>
        <w:rPr>
          <w:position w:val="2"/>
          <w:sz w:val="21"/>
        </w:rPr>
        <w:t>ε</w:t>
      </w:r>
      <w:r>
        <w:rPr>
          <w:sz w:val="14"/>
        </w:rPr>
        <w:t>i,t</w:t>
        <w:tab/>
      </w:r>
      <w:r>
        <w:rPr>
          <w:position w:val="2"/>
          <w:sz w:val="21"/>
        </w:rPr>
        <w:t>(4)</w:t>
      </w: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285" w:lineRule="auto"/>
        <w:ind w:left="1073" w:right="1070"/>
        <w:jc w:val="both"/>
      </w:pPr>
      <w:r>
        <w:rPr>
          <w:position w:val="2"/>
        </w:rPr>
        <w:t>where subscripts i and t refer to firm and year, X</w:t>
      </w:r>
      <w:r>
        <w:rPr>
          <w:sz w:val="14"/>
        </w:rPr>
        <w:t>i,t-1 </w:t>
      </w:r>
      <w:r>
        <w:rPr>
          <w:position w:val="2"/>
        </w:rPr>
        <w:t>refers to control variables,</w:t>
      </w:r>
      <w:r>
        <w:rPr>
          <w:spacing w:val="1"/>
          <w:position w:val="2"/>
        </w:rPr>
        <w:t> </w:t>
      </w:r>
      <w:r>
        <w:rPr/>
        <w:t>which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all</w:t>
      </w:r>
      <w:r>
        <w:rPr>
          <w:spacing w:val="-1"/>
        </w:rPr>
        <w:t> </w:t>
      </w:r>
      <w:r>
        <w:rPr/>
        <w:t>in lagged values.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ind w:left="1433"/>
      </w:pPr>
      <w:r>
        <w:rPr/>
        <w:t>Regression</w:t>
      </w:r>
      <w:r>
        <w:rPr>
          <w:spacing w:val="-2"/>
        </w:rPr>
        <w:t> </w:t>
      </w:r>
      <w:r>
        <w:rPr/>
        <w:t>results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reported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Table</w:t>
      </w:r>
      <w:r>
        <w:rPr>
          <w:spacing w:val="-1"/>
        </w:rPr>
        <w:t> </w:t>
      </w:r>
      <w:r>
        <w:rPr/>
        <w:t>2.</w:t>
      </w:r>
    </w:p>
    <w:p>
      <w:pPr>
        <w:pStyle w:val="BodyText"/>
        <w:spacing w:before="7"/>
        <w:rPr>
          <w:sz w:val="30"/>
        </w:rPr>
      </w:pPr>
    </w:p>
    <w:p>
      <w:pPr>
        <w:spacing w:before="0"/>
        <w:ind w:left="2227" w:right="2225" w:firstLine="0"/>
        <w:jc w:val="center"/>
        <w:rPr>
          <w:sz w:val="22"/>
        </w:rPr>
      </w:pPr>
      <w:r>
        <w:rPr>
          <w:b/>
          <w:sz w:val="22"/>
        </w:rPr>
        <w:t>Table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2.</w:t>
      </w:r>
      <w:r>
        <w:rPr>
          <w:b/>
          <w:spacing w:val="-2"/>
          <w:sz w:val="22"/>
        </w:rPr>
        <w:t> </w:t>
      </w:r>
      <w:r>
        <w:rPr>
          <w:sz w:val="22"/>
        </w:rPr>
        <w:t>Control variables</w:t>
      </w:r>
      <w:r>
        <w:rPr>
          <w:spacing w:val="-4"/>
          <w:sz w:val="22"/>
        </w:rPr>
        <w:t> </w:t>
      </w:r>
      <w:r>
        <w:rPr>
          <w:sz w:val="22"/>
        </w:rPr>
        <w:t>into</w:t>
      </w:r>
      <w:r>
        <w:rPr>
          <w:spacing w:val="-2"/>
          <w:sz w:val="22"/>
        </w:rPr>
        <w:t> </w:t>
      </w:r>
      <w:r>
        <w:rPr>
          <w:sz w:val="22"/>
        </w:rPr>
        <w:t>regression</w:t>
      </w:r>
      <w:r>
        <w:rPr>
          <w:spacing w:val="-4"/>
          <w:sz w:val="22"/>
        </w:rPr>
        <w:t> </w:t>
      </w:r>
      <w:r>
        <w:rPr>
          <w:sz w:val="22"/>
        </w:rPr>
        <w:t>results</w:t>
      </w:r>
    </w:p>
    <w:p>
      <w:pPr>
        <w:pStyle w:val="BodyText"/>
        <w:rPr>
          <w:sz w:val="20"/>
        </w:rPr>
      </w:pPr>
    </w:p>
    <w:p>
      <w:pPr>
        <w:pStyle w:val="BodyText"/>
        <w:spacing w:before="8" w:after="1"/>
        <w:rPr>
          <w:sz w:val="10"/>
        </w:rPr>
      </w:pPr>
    </w:p>
    <w:tbl>
      <w:tblPr>
        <w:tblW w:w="0" w:type="auto"/>
        <w:jc w:val="left"/>
        <w:tblInd w:w="10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7"/>
        <w:gridCol w:w="989"/>
        <w:gridCol w:w="992"/>
        <w:gridCol w:w="989"/>
        <w:gridCol w:w="876"/>
        <w:gridCol w:w="1093"/>
      </w:tblGrid>
      <w:tr>
        <w:trPr>
          <w:trHeight w:val="496" w:hRule="atLeast"/>
        </w:trPr>
        <w:tc>
          <w:tcPr>
            <w:tcW w:w="1707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Main</w:t>
            </w:r>
          </w:p>
          <w:p>
            <w:pPr>
              <w:pStyle w:val="TableParagraph"/>
              <w:spacing w:line="240" w:lineRule="auto" w:before="42"/>
              <w:rPr>
                <w:sz w:val="18"/>
              </w:rPr>
            </w:pPr>
            <w:r>
              <w:rPr>
                <w:sz w:val="18"/>
              </w:rPr>
              <w:t>Variable</w:t>
            </w:r>
          </w:p>
        </w:tc>
        <w:tc>
          <w:tcPr>
            <w:tcW w:w="992" w:type="dxa"/>
          </w:tcPr>
          <w:p>
            <w:pPr>
              <w:pStyle w:val="TableParagraph"/>
              <w:spacing w:line="240" w:lineRule="auto" w:before="7"/>
              <w:ind w:left="0"/>
              <w:rPr>
                <w:sz w:val="21"/>
              </w:rPr>
            </w:pPr>
          </w:p>
          <w:p>
            <w:pPr>
              <w:pStyle w:val="TableParagraph"/>
              <w:spacing w:line="240" w:lineRule="auto" w:before="1"/>
              <w:rPr>
                <w:sz w:val="18"/>
              </w:rPr>
            </w:pPr>
            <w:r>
              <w:rPr>
                <w:sz w:val="18"/>
              </w:rPr>
              <w:t>Mining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Basic</w:t>
            </w:r>
          </w:p>
          <w:p>
            <w:pPr>
              <w:pStyle w:val="TableParagraph"/>
              <w:spacing w:line="240" w:lineRule="auto" w:before="42"/>
              <w:rPr>
                <w:sz w:val="18"/>
              </w:rPr>
            </w:pPr>
            <w:r>
              <w:rPr>
                <w:sz w:val="18"/>
              </w:rPr>
              <w:t>Industry</w:t>
            </w:r>
          </w:p>
        </w:tc>
        <w:tc>
          <w:tcPr>
            <w:tcW w:w="876" w:type="dxa"/>
          </w:tcPr>
          <w:p>
            <w:pPr>
              <w:pStyle w:val="TableParagraph"/>
              <w:spacing w:line="240" w:lineRule="auto" w:before="7"/>
              <w:ind w:left="0"/>
              <w:rPr>
                <w:sz w:val="21"/>
              </w:rPr>
            </w:pPr>
          </w:p>
          <w:p>
            <w:pPr>
              <w:pStyle w:val="TableParagraph"/>
              <w:spacing w:line="240" w:lineRule="auto" w:before="1"/>
              <w:ind w:left="106"/>
              <w:rPr>
                <w:sz w:val="18"/>
              </w:rPr>
            </w:pPr>
            <w:r>
              <w:rPr>
                <w:sz w:val="18"/>
              </w:rPr>
              <w:t>Trade</w:t>
            </w:r>
          </w:p>
        </w:tc>
        <w:tc>
          <w:tcPr>
            <w:tcW w:w="1093" w:type="dxa"/>
          </w:tcPr>
          <w:p>
            <w:pPr>
              <w:pStyle w:val="TableParagraph"/>
              <w:spacing w:line="240" w:lineRule="auto" w:before="7"/>
              <w:ind w:left="0"/>
              <w:rPr>
                <w:sz w:val="21"/>
              </w:rPr>
            </w:pPr>
          </w:p>
          <w:p>
            <w:pPr>
              <w:pStyle w:val="TableParagraph"/>
              <w:spacing w:line="240" w:lineRule="auto" w:before="1"/>
              <w:rPr>
                <w:sz w:val="18"/>
              </w:rPr>
            </w:pPr>
            <w:r>
              <w:rPr>
                <w:sz w:val="18"/>
              </w:rPr>
              <w:t>Agriculture</w:t>
            </w:r>
          </w:p>
        </w:tc>
      </w:tr>
      <w:tr>
        <w:trPr>
          <w:trHeight w:val="249" w:hRule="atLeast"/>
        </w:trPr>
        <w:tc>
          <w:tcPr>
            <w:tcW w:w="1707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position w:val="-5"/>
                <w:sz w:val="18"/>
              </w:rPr>
              <w:t>R</w:t>
            </w:r>
            <w:r>
              <w:rPr>
                <w:sz w:val="12"/>
              </w:rPr>
              <w:t>2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0.0027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0.148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0.187</w:t>
            </w:r>
          </w:p>
        </w:tc>
        <w:tc>
          <w:tcPr>
            <w:tcW w:w="876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0.063</w:t>
            </w:r>
          </w:p>
        </w:tc>
        <w:tc>
          <w:tcPr>
            <w:tcW w:w="109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0.0324</w:t>
            </w:r>
          </w:p>
        </w:tc>
      </w:tr>
      <w:tr>
        <w:trPr>
          <w:trHeight w:val="246" w:hRule="atLeast"/>
        </w:trPr>
        <w:tc>
          <w:tcPr>
            <w:tcW w:w="170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# of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Observation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3195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263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638</w:t>
            </w:r>
          </w:p>
        </w:tc>
        <w:tc>
          <w:tcPr>
            <w:tcW w:w="876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841</w:t>
            </w:r>
          </w:p>
        </w:tc>
        <w:tc>
          <w:tcPr>
            <w:tcW w:w="109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98</w:t>
            </w:r>
          </w:p>
        </w:tc>
      </w:tr>
      <w:tr>
        <w:trPr>
          <w:trHeight w:val="498" w:hRule="atLeast"/>
        </w:trPr>
        <w:tc>
          <w:tcPr>
            <w:tcW w:w="1707" w:type="dxa"/>
          </w:tcPr>
          <w:p>
            <w:pPr>
              <w:pStyle w:val="TableParagraph"/>
              <w:spacing w:line="240" w:lineRule="auto" w:before="2"/>
              <w:rPr>
                <w:sz w:val="18"/>
              </w:rPr>
            </w:pPr>
            <w:r>
              <w:rPr>
                <w:sz w:val="18"/>
              </w:rPr>
              <w:t># 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Cross-section</w:t>
            </w:r>
          </w:p>
          <w:p>
            <w:pPr>
              <w:pStyle w:val="TableParagraph"/>
              <w:spacing w:line="240" w:lineRule="auto" w:before="40"/>
              <w:rPr>
                <w:sz w:val="18"/>
              </w:rPr>
            </w:pPr>
            <w:r>
              <w:rPr>
                <w:sz w:val="18"/>
              </w:rPr>
              <w:t>observation</w:t>
            </w:r>
          </w:p>
        </w:tc>
        <w:tc>
          <w:tcPr>
            <w:tcW w:w="989" w:type="dxa"/>
          </w:tcPr>
          <w:p>
            <w:pPr>
              <w:pStyle w:val="TableParagraph"/>
              <w:spacing w:line="240" w:lineRule="auto" w:before="2"/>
              <w:rPr>
                <w:sz w:val="18"/>
              </w:rPr>
            </w:pPr>
            <w:r>
              <w:rPr>
                <w:sz w:val="18"/>
              </w:rPr>
              <w:t>316</w:t>
            </w:r>
          </w:p>
        </w:tc>
        <w:tc>
          <w:tcPr>
            <w:tcW w:w="992" w:type="dxa"/>
          </w:tcPr>
          <w:p>
            <w:pPr>
              <w:pStyle w:val="TableParagraph"/>
              <w:spacing w:line="240" w:lineRule="auto" w:before="2"/>
              <w:rPr>
                <w:sz w:val="18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989" w:type="dxa"/>
          </w:tcPr>
          <w:p>
            <w:pPr>
              <w:pStyle w:val="TableParagraph"/>
              <w:spacing w:line="240" w:lineRule="auto" w:before="2"/>
              <w:rPr>
                <w:sz w:val="18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w="876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18"/>
              </w:rPr>
            </w:pPr>
            <w:r>
              <w:rPr>
                <w:sz w:val="18"/>
              </w:rPr>
              <w:t>85</w:t>
            </w:r>
          </w:p>
        </w:tc>
        <w:tc>
          <w:tcPr>
            <w:tcW w:w="1093" w:type="dxa"/>
          </w:tcPr>
          <w:p>
            <w:pPr>
              <w:pStyle w:val="TableParagraph"/>
              <w:spacing w:line="240" w:lineRule="auto" w:before="2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</w:tr>
    </w:tbl>
    <w:p>
      <w:pPr>
        <w:spacing w:line="285" w:lineRule="auto" w:before="2"/>
        <w:ind w:left="1433" w:right="1066" w:hanging="360"/>
        <w:jc w:val="left"/>
        <w:rPr>
          <w:sz w:val="17"/>
        </w:rPr>
      </w:pPr>
      <w:r>
        <w:rPr>
          <w:sz w:val="17"/>
        </w:rPr>
        <w:t>Significant</w:t>
      </w:r>
      <w:r>
        <w:rPr>
          <w:spacing w:val="31"/>
          <w:sz w:val="17"/>
        </w:rPr>
        <w:t> </w:t>
      </w:r>
      <w:r>
        <w:rPr>
          <w:sz w:val="17"/>
        </w:rPr>
        <w:t>variables</w:t>
      </w:r>
      <w:r>
        <w:rPr>
          <w:spacing w:val="31"/>
          <w:sz w:val="17"/>
        </w:rPr>
        <w:t> </w:t>
      </w:r>
      <w:r>
        <w:rPr>
          <w:sz w:val="17"/>
        </w:rPr>
        <w:t>at</w:t>
      </w:r>
      <w:r>
        <w:rPr>
          <w:spacing w:val="30"/>
          <w:sz w:val="17"/>
        </w:rPr>
        <w:t> </w:t>
      </w:r>
      <w:r>
        <w:rPr>
          <w:sz w:val="17"/>
        </w:rPr>
        <w:t>levels</w:t>
      </w:r>
      <w:r>
        <w:rPr>
          <w:spacing w:val="31"/>
          <w:sz w:val="17"/>
        </w:rPr>
        <w:t> </w:t>
      </w:r>
      <w:r>
        <w:rPr>
          <w:sz w:val="17"/>
        </w:rPr>
        <w:t>of</w:t>
      </w:r>
      <w:r>
        <w:rPr>
          <w:spacing w:val="30"/>
          <w:sz w:val="17"/>
        </w:rPr>
        <w:t> </w:t>
      </w:r>
      <w:r>
        <w:rPr>
          <w:sz w:val="17"/>
        </w:rPr>
        <w:t>significance</w:t>
      </w:r>
      <w:r>
        <w:rPr>
          <w:spacing w:val="31"/>
          <w:sz w:val="17"/>
        </w:rPr>
        <w:t> </w:t>
      </w:r>
      <w:r>
        <w:rPr>
          <w:sz w:val="17"/>
        </w:rPr>
        <w:t>1%,</w:t>
      </w:r>
      <w:r>
        <w:rPr>
          <w:spacing w:val="29"/>
          <w:sz w:val="17"/>
        </w:rPr>
        <w:t> </w:t>
      </w:r>
      <w:r>
        <w:rPr>
          <w:sz w:val="17"/>
        </w:rPr>
        <w:t>5%,</w:t>
      </w:r>
      <w:r>
        <w:rPr>
          <w:spacing w:val="30"/>
          <w:sz w:val="17"/>
        </w:rPr>
        <w:t> </w:t>
      </w:r>
      <w:r>
        <w:rPr>
          <w:sz w:val="17"/>
        </w:rPr>
        <w:t>and</w:t>
      </w:r>
      <w:r>
        <w:rPr>
          <w:spacing w:val="31"/>
          <w:sz w:val="17"/>
        </w:rPr>
        <w:t> </w:t>
      </w:r>
      <w:r>
        <w:rPr>
          <w:sz w:val="17"/>
        </w:rPr>
        <w:t>10%</w:t>
      </w:r>
      <w:r>
        <w:rPr>
          <w:spacing w:val="29"/>
          <w:sz w:val="17"/>
        </w:rPr>
        <w:t> </w:t>
      </w:r>
      <w:r>
        <w:rPr>
          <w:sz w:val="17"/>
        </w:rPr>
        <w:t>(two-sided)</w:t>
      </w:r>
      <w:r>
        <w:rPr>
          <w:spacing w:val="30"/>
          <w:sz w:val="17"/>
        </w:rPr>
        <w:t> </w:t>
      </w:r>
      <w:r>
        <w:rPr>
          <w:sz w:val="17"/>
        </w:rPr>
        <w:t>are</w:t>
      </w:r>
      <w:r>
        <w:rPr>
          <w:spacing w:val="31"/>
          <w:sz w:val="17"/>
        </w:rPr>
        <w:t> </w:t>
      </w:r>
      <w:r>
        <w:rPr>
          <w:sz w:val="17"/>
        </w:rPr>
        <w:t>respectively</w:t>
      </w:r>
      <w:r>
        <w:rPr>
          <w:spacing w:val="-39"/>
          <w:sz w:val="17"/>
        </w:rPr>
        <w:t> </w:t>
      </w:r>
      <w:r>
        <w:rPr>
          <w:sz w:val="17"/>
        </w:rPr>
        <w:t>expressed</w:t>
      </w:r>
      <w:r>
        <w:rPr>
          <w:spacing w:val="-2"/>
          <w:sz w:val="17"/>
        </w:rPr>
        <w:t> </w:t>
      </w:r>
      <w:r>
        <w:rPr>
          <w:sz w:val="17"/>
        </w:rPr>
        <w:t>by</w:t>
      </w:r>
      <w:r>
        <w:rPr>
          <w:spacing w:val="-1"/>
          <w:sz w:val="17"/>
        </w:rPr>
        <w:t> </w:t>
      </w:r>
      <w:r>
        <w:rPr>
          <w:sz w:val="17"/>
        </w:rPr>
        <w:t>***,</w:t>
      </w:r>
      <w:r>
        <w:rPr>
          <w:spacing w:val="-3"/>
          <w:sz w:val="17"/>
        </w:rPr>
        <w:t> </w:t>
      </w:r>
      <w:r>
        <w:rPr>
          <w:sz w:val="17"/>
        </w:rPr>
        <w:t>**,</w:t>
      </w:r>
      <w:r>
        <w:rPr>
          <w:spacing w:val="-2"/>
          <w:sz w:val="17"/>
        </w:rPr>
        <w:t> </w:t>
      </w:r>
      <w:r>
        <w:rPr>
          <w:sz w:val="17"/>
        </w:rPr>
        <w:t>and</w:t>
      </w:r>
      <w:r>
        <w:rPr>
          <w:spacing w:val="-1"/>
          <w:sz w:val="17"/>
        </w:rPr>
        <w:t> </w:t>
      </w:r>
      <w:r>
        <w:rPr>
          <w:sz w:val="17"/>
        </w:rPr>
        <w:t>*.</w:t>
      </w:r>
      <w:r>
        <w:rPr>
          <w:spacing w:val="-3"/>
          <w:sz w:val="17"/>
        </w:rPr>
        <w:t> </w:t>
      </w:r>
      <w:r>
        <w:rPr>
          <w:sz w:val="17"/>
        </w:rPr>
        <w:t>Numbers</w:t>
      </w:r>
      <w:r>
        <w:rPr>
          <w:spacing w:val="-1"/>
          <w:sz w:val="17"/>
        </w:rPr>
        <w:t> </w:t>
      </w:r>
      <w:r>
        <w:rPr>
          <w:sz w:val="17"/>
        </w:rPr>
        <w:t>in</w:t>
      </w:r>
      <w:r>
        <w:rPr>
          <w:spacing w:val="1"/>
          <w:sz w:val="17"/>
        </w:rPr>
        <w:t> </w:t>
      </w:r>
      <w:r>
        <w:rPr>
          <w:sz w:val="17"/>
        </w:rPr>
        <w:t>brackets</w:t>
      </w:r>
      <w:r>
        <w:rPr>
          <w:spacing w:val="-3"/>
          <w:sz w:val="17"/>
        </w:rPr>
        <w:t> </w:t>
      </w:r>
      <w:r>
        <w:rPr>
          <w:sz w:val="17"/>
        </w:rPr>
        <w:t>are</w:t>
      </w:r>
      <w:r>
        <w:rPr>
          <w:spacing w:val="1"/>
          <w:sz w:val="17"/>
        </w:rPr>
        <w:t> </w:t>
      </w:r>
      <w:r>
        <w:rPr>
          <w:sz w:val="17"/>
        </w:rPr>
        <w:t>standard</w:t>
      </w:r>
      <w:r>
        <w:rPr>
          <w:spacing w:val="-1"/>
          <w:sz w:val="17"/>
        </w:rPr>
        <w:t> </w:t>
      </w:r>
      <w:r>
        <w:rPr>
          <w:sz w:val="17"/>
        </w:rPr>
        <w:t>errors.</w:t>
      </w:r>
    </w:p>
    <w:p>
      <w:pPr>
        <w:pStyle w:val="BodyText"/>
        <w:spacing w:before="7"/>
        <w:rPr>
          <w:sz w:val="26"/>
        </w:rPr>
      </w:pPr>
    </w:p>
    <w:p>
      <w:pPr>
        <w:pStyle w:val="BodyText"/>
        <w:spacing w:line="288" w:lineRule="auto"/>
        <w:ind w:left="1073" w:right="1069" w:firstLine="360"/>
        <w:jc w:val="both"/>
      </w:pPr>
      <w:r>
        <w:rPr/>
        <w:t>First,</w:t>
      </w:r>
      <w:r>
        <w:rPr>
          <w:spacing w:val="-5"/>
        </w:rPr>
        <w:t> </w:t>
      </w:r>
      <w:r>
        <w:rPr/>
        <w:t>researchers</w:t>
      </w:r>
      <w:r>
        <w:rPr>
          <w:spacing w:val="-4"/>
        </w:rPr>
        <w:t> </w:t>
      </w:r>
      <w:r>
        <w:rPr/>
        <w:t>included</w:t>
      </w:r>
      <w:r>
        <w:rPr>
          <w:spacing w:val="-6"/>
        </w:rPr>
        <w:t> </w:t>
      </w:r>
      <w:r>
        <w:rPr/>
        <w:t>only</w:t>
      </w:r>
      <w:r>
        <w:rPr>
          <w:spacing w:val="-4"/>
        </w:rPr>
        <w:t> </w:t>
      </w:r>
      <w:r>
        <w:rPr/>
        <w:t>dependent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independent</w:t>
      </w:r>
      <w:r>
        <w:rPr>
          <w:spacing w:val="-5"/>
        </w:rPr>
        <w:t> </w:t>
      </w:r>
      <w:r>
        <w:rPr/>
        <w:t>variables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0"/>
        </w:rPr>
        <w:t> </w:t>
      </w:r>
      <w:r>
        <w:rPr/>
        <w:t>regression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all</w:t>
      </w:r>
      <w:r>
        <w:rPr>
          <w:spacing w:val="1"/>
        </w:rPr>
        <w:t> </w:t>
      </w:r>
      <w:r>
        <w:rPr/>
        <w:t>sample</w:t>
      </w:r>
      <w:r>
        <w:rPr>
          <w:spacing w:val="1"/>
        </w:rPr>
        <w:t> </w:t>
      </w:r>
      <w:r>
        <w:rPr/>
        <w:t>firms.</w:t>
      </w:r>
      <w:r>
        <w:rPr>
          <w:spacing w:val="1"/>
        </w:rPr>
        <w:t> </w:t>
      </w:r>
      <w:r>
        <w:rPr/>
        <w:t>Then,</w:t>
      </w:r>
      <w:r>
        <w:rPr>
          <w:spacing w:val="1"/>
        </w:rPr>
        <w:t> </w:t>
      </w:r>
      <w:r>
        <w:rPr/>
        <w:t>researchers</w:t>
      </w:r>
      <w:r>
        <w:rPr>
          <w:spacing w:val="1"/>
        </w:rPr>
        <w:t> </w:t>
      </w:r>
      <w:r>
        <w:rPr/>
        <w:t>incorporated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variables into the regression, still using all sample firms. Next, researchers ran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regression for</w:t>
      </w:r>
      <w:r>
        <w:rPr>
          <w:spacing w:val="-2"/>
        </w:rPr>
        <w:t> </w:t>
      </w:r>
      <w:r>
        <w:rPr/>
        <w:t>each industry classification</w:t>
      </w:r>
      <w:r>
        <w:rPr>
          <w:spacing w:val="-1"/>
        </w:rPr>
        <w:t> </w:t>
      </w:r>
      <w:r>
        <w:rPr/>
        <w:t>using all</w:t>
      </w:r>
      <w:r>
        <w:rPr>
          <w:spacing w:val="-2"/>
        </w:rPr>
        <w:t> </w:t>
      </w:r>
      <w:r>
        <w:rPr/>
        <w:t>variables.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30"/>
        </w:rPr>
      </w:pPr>
    </w:p>
    <w:p>
      <w:pPr>
        <w:pStyle w:val="Heading1"/>
      </w:pPr>
      <w:r>
        <w:rPr/>
        <w:t>Conclusion</w:t>
      </w:r>
    </w:p>
    <w:p>
      <w:pPr>
        <w:pStyle w:val="BodyText"/>
        <w:spacing w:before="11"/>
        <w:rPr>
          <w:b/>
          <w:sz w:val="31"/>
        </w:rPr>
      </w:pPr>
    </w:p>
    <w:p>
      <w:pPr>
        <w:pStyle w:val="BodyText"/>
        <w:spacing w:line="288" w:lineRule="auto"/>
        <w:ind w:left="1073" w:right="1069"/>
        <w:jc w:val="both"/>
      </w:pPr>
      <w:r>
        <w:rPr/>
        <w:t>This research examined national (presidential) elections’ impact on individual</w:t>
      </w:r>
      <w:r>
        <w:rPr>
          <w:spacing w:val="1"/>
        </w:rPr>
        <w:t> </w:t>
      </w:r>
      <w:r>
        <w:rPr/>
        <w:t>stock’s crash risk in Indonesia. Researchers found no indication of information</w:t>
      </w:r>
      <w:r>
        <w:rPr>
          <w:spacing w:val="-50"/>
        </w:rPr>
        <w:t> </w:t>
      </w:r>
      <w:r>
        <w:rPr/>
        <w:t>withholding,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significant</w:t>
      </w:r>
      <w:r>
        <w:rPr>
          <w:spacing w:val="-4"/>
        </w:rPr>
        <w:t> </w:t>
      </w:r>
      <w:r>
        <w:rPr/>
        <w:t>data</w:t>
      </w:r>
      <w:r>
        <w:rPr>
          <w:spacing w:val="-3"/>
        </w:rPr>
        <w:t> </w:t>
      </w:r>
      <w:r>
        <w:rPr/>
        <w:t>shows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individual</w:t>
      </w:r>
      <w:r>
        <w:rPr>
          <w:spacing w:val="-4"/>
        </w:rPr>
        <w:t> </w:t>
      </w:r>
      <w:r>
        <w:rPr/>
        <w:t>stock</w:t>
      </w:r>
      <w:r>
        <w:rPr>
          <w:spacing w:val="-3"/>
        </w:rPr>
        <w:t> </w:t>
      </w:r>
      <w:r>
        <w:rPr/>
        <w:t>crash</w:t>
      </w:r>
      <w:r>
        <w:rPr>
          <w:spacing w:val="-4"/>
        </w:rPr>
        <w:t> </w:t>
      </w:r>
      <w:r>
        <w:rPr/>
        <w:t>risk</w:t>
      </w:r>
      <w:r>
        <w:rPr>
          <w:spacing w:val="-3"/>
        </w:rPr>
        <w:t> </w:t>
      </w:r>
      <w:r>
        <w:rPr/>
        <w:t>increases</w:t>
      </w:r>
      <w:r>
        <w:rPr>
          <w:spacing w:val="-50"/>
        </w:rPr>
        <w:t> </w:t>
      </w:r>
      <w:r>
        <w:rPr/>
        <w:t>both in election and post-election periods. Overall, our findings suggest that</w:t>
      </w:r>
      <w:r>
        <w:rPr>
          <w:spacing w:val="1"/>
        </w:rPr>
        <w:t> </w:t>
      </w:r>
      <w:r>
        <w:rPr/>
        <w:t>political uncertainty is an important determinant of stocks’ crash or downside</w:t>
      </w:r>
      <w:r>
        <w:rPr>
          <w:spacing w:val="1"/>
        </w:rPr>
        <w:t> </w:t>
      </w:r>
      <w:r>
        <w:rPr/>
        <w:t>tail</w:t>
      </w:r>
      <w:r>
        <w:rPr>
          <w:spacing w:val="-2"/>
        </w:rPr>
        <w:t> </w:t>
      </w:r>
      <w:r>
        <w:rPr/>
        <w:t>risk.</w:t>
      </w:r>
    </w:p>
    <w:p>
      <w:pPr>
        <w:spacing w:after="0" w:line="288" w:lineRule="auto"/>
        <w:jc w:val="both"/>
        <w:sectPr>
          <w:pgSz w:w="12240" w:h="15840"/>
          <w:pgMar w:header="2141" w:footer="0" w:top="2360" w:bottom="280" w:left="1720" w:right="1720"/>
        </w:sectPr>
      </w:pPr>
    </w:p>
    <w:p>
      <w:pPr>
        <w:pStyle w:val="BodyText"/>
        <w:spacing w:before="3"/>
        <w:rPr>
          <w:sz w:val="12"/>
        </w:rPr>
      </w:pPr>
    </w:p>
    <w:p>
      <w:pPr>
        <w:pStyle w:val="Heading1"/>
        <w:spacing w:before="89"/>
      </w:pPr>
      <w:r>
        <w:rPr/>
        <w:t>References</w:t>
      </w:r>
    </w:p>
    <w:p>
      <w:pPr>
        <w:pStyle w:val="BodyText"/>
        <w:spacing w:before="10"/>
        <w:rPr>
          <w:b/>
          <w:sz w:val="31"/>
        </w:rPr>
      </w:pPr>
    </w:p>
    <w:p>
      <w:pPr>
        <w:spacing w:line="290" w:lineRule="auto" w:before="1"/>
        <w:ind w:left="1433" w:right="1070" w:hanging="360"/>
        <w:jc w:val="left"/>
        <w:rPr>
          <w:sz w:val="18"/>
        </w:rPr>
      </w:pPr>
      <w:r>
        <w:rPr>
          <w:sz w:val="18"/>
        </w:rPr>
        <w:t>Saint,</w:t>
      </w:r>
      <w:r>
        <w:rPr>
          <w:spacing w:val="15"/>
          <w:sz w:val="18"/>
        </w:rPr>
        <w:t> </w:t>
      </w:r>
      <w:r>
        <w:rPr>
          <w:sz w:val="18"/>
        </w:rPr>
        <w:t>M.</w:t>
      </w:r>
      <w:r>
        <w:rPr>
          <w:spacing w:val="17"/>
          <w:sz w:val="18"/>
        </w:rPr>
        <w:t> </w:t>
      </w:r>
      <w:r>
        <w:rPr>
          <w:sz w:val="18"/>
        </w:rPr>
        <w:t>2003.</w:t>
      </w:r>
      <w:r>
        <w:rPr>
          <w:spacing w:val="17"/>
          <w:sz w:val="18"/>
        </w:rPr>
        <w:t> </w:t>
      </w:r>
      <w:r>
        <w:rPr>
          <w:sz w:val="18"/>
        </w:rPr>
        <w:t>Precarious</w:t>
      </w:r>
      <w:r>
        <w:rPr>
          <w:spacing w:val="15"/>
          <w:sz w:val="18"/>
        </w:rPr>
        <w:t> </w:t>
      </w:r>
      <w:r>
        <w:rPr>
          <w:sz w:val="18"/>
        </w:rPr>
        <w:t>politics</w:t>
      </w:r>
      <w:r>
        <w:rPr>
          <w:spacing w:val="18"/>
          <w:sz w:val="18"/>
        </w:rPr>
        <w:t> </w:t>
      </w:r>
      <w:r>
        <w:rPr>
          <w:sz w:val="18"/>
        </w:rPr>
        <w:t>and</w:t>
      </w:r>
      <w:r>
        <w:rPr>
          <w:spacing w:val="17"/>
          <w:sz w:val="18"/>
        </w:rPr>
        <w:t> </w:t>
      </w:r>
      <w:r>
        <w:rPr>
          <w:sz w:val="18"/>
        </w:rPr>
        <w:t>return</w:t>
      </w:r>
      <w:r>
        <w:rPr>
          <w:spacing w:val="15"/>
          <w:sz w:val="18"/>
        </w:rPr>
        <w:t> </w:t>
      </w:r>
      <w:r>
        <w:rPr>
          <w:sz w:val="18"/>
        </w:rPr>
        <w:t>volatility.</w:t>
      </w:r>
      <w:r>
        <w:rPr>
          <w:spacing w:val="19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15"/>
          <w:sz w:val="18"/>
        </w:rPr>
        <w:t> </w:t>
      </w:r>
      <w:r>
        <w:rPr>
          <w:i/>
          <w:sz w:val="18"/>
        </w:rPr>
        <w:t>Review</w:t>
      </w:r>
      <w:r>
        <w:rPr>
          <w:i/>
          <w:spacing w:val="18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16"/>
          <w:sz w:val="18"/>
        </w:rPr>
        <w:t> </w:t>
      </w:r>
      <w:r>
        <w:rPr>
          <w:i/>
          <w:sz w:val="18"/>
        </w:rPr>
        <w:t>Financial</w:t>
      </w:r>
      <w:r>
        <w:rPr>
          <w:i/>
          <w:spacing w:val="16"/>
          <w:sz w:val="18"/>
        </w:rPr>
        <w:t> </w:t>
      </w:r>
      <w:r>
        <w:rPr>
          <w:i/>
          <w:sz w:val="18"/>
        </w:rPr>
        <w:t>Studies</w:t>
      </w:r>
      <w:r>
        <w:rPr>
          <w:sz w:val="18"/>
        </w:rPr>
        <w:t>,</w:t>
      </w:r>
      <w:r>
        <w:rPr>
          <w:spacing w:val="-42"/>
          <w:sz w:val="18"/>
        </w:rPr>
        <w:t> </w:t>
      </w:r>
      <w:r>
        <w:rPr>
          <w:sz w:val="18"/>
        </w:rPr>
        <w:t>9(4):1111-1154.</w:t>
      </w:r>
    </w:p>
    <w:p>
      <w:pPr>
        <w:spacing w:line="290" w:lineRule="auto" w:before="0"/>
        <w:ind w:left="1433" w:right="976" w:hanging="360"/>
        <w:jc w:val="left"/>
        <w:rPr>
          <w:sz w:val="18"/>
        </w:rPr>
      </w:pPr>
      <w:r>
        <w:rPr>
          <w:sz w:val="18"/>
        </w:rPr>
        <w:t>Smith,</w:t>
      </w:r>
      <w:r>
        <w:rPr>
          <w:spacing w:val="3"/>
          <w:sz w:val="18"/>
        </w:rPr>
        <w:t> </w:t>
      </w:r>
      <w:r>
        <w:rPr>
          <w:sz w:val="18"/>
        </w:rPr>
        <w:t>J.</w:t>
      </w:r>
      <w:r>
        <w:rPr>
          <w:spacing w:val="5"/>
          <w:sz w:val="18"/>
        </w:rPr>
        <w:t> </w:t>
      </w:r>
      <w:r>
        <w:rPr>
          <w:sz w:val="18"/>
        </w:rPr>
        <w:t>2004.</w:t>
      </w:r>
      <w:r>
        <w:rPr>
          <w:spacing w:val="4"/>
          <w:sz w:val="18"/>
        </w:rPr>
        <w:t> </w:t>
      </w:r>
      <w:r>
        <w:rPr>
          <w:sz w:val="18"/>
        </w:rPr>
        <w:t>Forecasting</w:t>
      </w:r>
      <w:r>
        <w:rPr>
          <w:spacing w:val="5"/>
          <w:sz w:val="18"/>
        </w:rPr>
        <w:t> </w:t>
      </w:r>
      <w:r>
        <w:rPr>
          <w:sz w:val="18"/>
        </w:rPr>
        <w:t>crashes:</w:t>
      </w:r>
      <w:r>
        <w:rPr>
          <w:spacing w:val="3"/>
          <w:sz w:val="18"/>
        </w:rPr>
        <w:t> </w:t>
      </w:r>
      <w:r>
        <w:rPr>
          <w:sz w:val="18"/>
        </w:rPr>
        <w:t>trading</w:t>
      </w:r>
      <w:r>
        <w:rPr>
          <w:spacing w:val="5"/>
          <w:sz w:val="18"/>
        </w:rPr>
        <w:t> </w:t>
      </w:r>
      <w:r>
        <w:rPr>
          <w:sz w:val="18"/>
        </w:rPr>
        <w:t>volume,</w:t>
      </w:r>
      <w:r>
        <w:rPr>
          <w:spacing w:val="3"/>
          <w:sz w:val="18"/>
        </w:rPr>
        <w:t> </w:t>
      </w:r>
      <w:r>
        <w:rPr>
          <w:sz w:val="18"/>
        </w:rPr>
        <w:t>past</w:t>
      </w:r>
      <w:r>
        <w:rPr>
          <w:spacing w:val="4"/>
          <w:sz w:val="18"/>
        </w:rPr>
        <w:t> </w:t>
      </w:r>
      <w:r>
        <w:rPr>
          <w:sz w:val="18"/>
        </w:rPr>
        <w:t>returns,</w:t>
      </w:r>
      <w:r>
        <w:rPr>
          <w:spacing w:val="2"/>
          <w:sz w:val="18"/>
        </w:rPr>
        <w:t> </w:t>
      </w:r>
      <w:r>
        <w:rPr>
          <w:sz w:val="18"/>
        </w:rPr>
        <w:t>and</w:t>
      </w:r>
      <w:r>
        <w:rPr>
          <w:spacing w:val="4"/>
          <w:sz w:val="18"/>
        </w:rPr>
        <w:t> </w:t>
      </w:r>
      <w:r>
        <w:rPr>
          <w:sz w:val="18"/>
        </w:rPr>
        <w:t>conditional</w:t>
      </w:r>
      <w:r>
        <w:rPr>
          <w:spacing w:val="4"/>
          <w:sz w:val="18"/>
        </w:rPr>
        <w:t> </w:t>
      </w:r>
      <w:r>
        <w:rPr>
          <w:sz w:val="18"/>
        </w:rPr>
        <w:t>skewness</w:t>
      </w:r>
      <w:r>
        <w:rPr>
          <w:spacing w:val="-42"/>
          <w:sz w:val="18"/>
        </w:rPr>
        <w:t> </w:t>
      </w:r>
      <w:r>
        <w:rPr>
          <w:sz w:val="18"/>
        </w:rPr>
        <w:t>in stock</w:t>
      </w:r>
      <w:r>
        <w:rPr>
          <w:spacing w:val="1"/>
          <w:sz w:val="18"/>
        </w:rPr>
        <w:t> </w:t>
      </w:r>
      <w:r>
        <w:rPr>
          <w:sz w:val="18"/>
        </w:rPr>
        <w:t>prices.</w:t>
      </w:r>
      <w:r>
        <w:rPr>
          <w:spacing w:val="2"/>
          <w:sz w:val="18"/>
        </w:rPr>
        <w:t> </w:t>
      </w:r>
      <w:r>
        <w:rPr>
          <w:i/>
          <w:sz w:val="18"/>
        </w:rPr>
        <w:t>Journal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of Financial Economics</w:t>
      </w:r>
      <w:r>
        <w:rPr>
          <w:sz w:val="18"/>
        </w:rPr>
        <w:t>,</w:t>
      </w:r>
      <w:r>
        <w:rPr>
          <w:spacing w:val="-3"/>
          <w:sz w:val="18"/>
        </w:rPr>
        <w:t> </w:t>
      </w:r>
      <w:r>
        <w:rPr>
          <w:sz w:val="18"/>
        </w:rPr>
        <w:t>10(3):345-381.</w:t>
      </w:r>
    </w:p>
    <w:p>
      <w:pPr>
        <w:spacing w:line="290" w:lineRule="auto" w:before="0"/>
        <w:ind w:left="1433" w:right="976" w:hanging="360"/>
        <w:jc w:val="left"/>
        <w:rPr>
          <w:sz w:val="18"/>
        </w:rPr>
      </w:pPr>
      <w:r>
        <w:rPr>
          <w:sz w:val="18"/>
        </w:rPr>
        <w:t>Williams,</w:t>
      </w:r>
      <w:r>
        <w:rPr>
          <w:spacing w:val="3"/>
          <w:sz w:val="18"/>
        </w:rPr>
        <w:t> </w:t>
      </w:r>
      <w:r>
        <w:rPr>
          <w:sz w:val="18"/>
        </w:rPr>
        <w:t>J.</w:t>
      </w:r>
      <w:r>
        <w:rPr>
          <w:spacing w:val="2"/>
          <w:sz w:val="18"/>
        </w:rPr>
        <w:t> </w:t>
      </w:r>
      <w:r>
        <w:rPr>
          <w:sz w:val="18"/>
        </w:rPr>
        <w:t>W.</w:t>
      </w:r>
      <w:r>
        <w:rPr>
          <w:spacing w:val="4"/>
          <w:sz w:val="18"/>
        </w:rPr>
        <w:t> </w:t>
      </w:r>
      <w:r>
        <w:rPr>
          <w:sz w:val="18"/>
        </w:rPr>
        <w:t>and</w:t>
      </w:r>
      <w:r>
        <w:rPr>
          <w:spacing w:val="3"/>
          <w:sz w:val="18"/>
        </w:rPr>
        <w:t> </w:t>
      </w:r>
      <w:r>
        <w:rPr>
          <w:sz w:val="18"/>
        </w:rPr>
        <w:t>Van,</w:t>
      </w:r>
      <w:r>
        <w:rPr>
          <w:spacing w:val="2"/>
          <w:sz w:val="18"/>
        </w:rPr>
        <w:t> </w:t>
      </w:r>
      <w:r>
        <w:rPr>
          <w:sz w:val="18"/>
        </w:rPr>
        <w:t>S.</w:t>
      </w:r>
      <w:r>
        <w:rPr>
          <w:spacing w:val="1"/>
          <w:sz w:val="18"/>
        </w:rPr>
        <w:t> </w:t>
      </w:r>
      <w:r>
        <w:rPr>
          <w:sz w:val="18"/>
        </w:rPr>
        <w:t>2008.</w:t>
      </w:r>
      <w:r>
        <w:rPr>
          <w:spacing w:val="5"/>
          <w:sz w:val="18"/>
        </w:rPr>
        <w:t> </w:t>
      </w:r>
      <w:r>
        <w:rPr>
          <w:sz w:val="18"/>
        </w:rPr>
        <w:t>US</w:t>
      </w:r>
      <w:r>
        <w:rPr>
          <w:spacing w:val="2"/>
          <w:sz w:val="18"/>
        </w:rPr>
        <w:t> </w:t>
      </w:r>
      <w:r>
        <w:rPr>
          <w:sz w:val="18"/>
        </w:rPr>
        <w:t>presidential</w:t>
      </w:r>
      <w:r>
        <w:rPr>
          <w:spacing w:val="4"/>
          <w:sz w:val="18"/>
        </w:rPr>
        <w:t> </w:t>
      </w:r>
      <w:r>
        <w:rPr>
          <w:sz w:val="18"/>
        </w:rPr>
        <w:t>elections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implied</w:t>
      </w:r>
      <w:r>
        <w:rPr>
          <w:spacing w:val="2"/>
          <w:sz w:val="18"/>
        </w:rPr>
        <w:t> </w:t>
      </w:r>
      <w:r>
        <w:rPr>
          <w:sz w:val="18"/>
        </w:rPr>
        <w:t>volatility:</w:t>
      </w:r>
      <w:r>
        <w:rPr>
          <w:spacing w:val="2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role</w:t>
      </w:r>
      <w:r>
        <w:rPr>
          <w:spacing w:val="-42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political</w:t>
      </w:r>
      <w:r>
        <w:rPr>
          <w:spacing w:val="-2"/>
          <w:sz w:val="18"/>
        </w:rPr>
        <w:t> </w:t>
      </w:r>
      <w:r>
        <w:rPr>
          <w:sz w:val="18"/>
        </w:rPr>
        <w:t>uncertainty.</w:t>
      </w:r>
      <w:r>
        <w:rPr>
          <w:spacing w:val="1"/>
          <w:sz w:val="18"/>
        </w:rPr>
        <w:t> </w:t>
      </w:r>
      <w:r>
        <w:rPr>
          <w:i/>
          <w:sz w:val="18"/>
        </w:rPr>
        <w:t>Journal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of Banking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Finance</w:t>
      </w:r>
      <w:r>
        <w:rPr>
          <w:sz w:val="18"/>
        </w:rPr>
        <w:t>,</w:t>
      </w:r>
      <w:r>
        <w:rPr>
          <w:spacing w:val="-2"/>
          <w:sz w:val="18"/>
        </w:rPr>
        <w:t> </w:t>
      </w:r>
      <w:r>
        <w:rPr>
          <w:sz w:val="18"/>
        </w:rPr>
        <w:t>39(18):1108-1117.</w:t>
      </w:r>
    </w:p>
    <w:p>
      <w:pPr>
        <w:pStyle w:val="BodyText"/>
        <w:spacing w:before="8"/>
        <w:rPr>
          <w:sz w:val="20"/>
        </w:rPr>
      </w:pPr>
    </w:p>
    <w:p>
      <w:pPr>
        <w:spacing w:before="1"/>
        <w:ind w:left="1073" w:right="0" w:firstLine="0"/>
        <w:jc w:val="left"/>
        <w:rPr>
          <w:b/>
          <w:i/>
          <w:sz w:val="22"/>
        </w:rPr>
      </w:pPr>
      <w:r>
        <w:rPr>
          <w:b/>
          <w:i/>
          <w:sz w:val="22"/>
          <w:u w:val="thick"/>
        </w:rPr>
        <w:t>*Important</w:t>
      </w:r>
      <w:r>
        <w:rPr>
          <w:b/>
          <w:i/>
          <w:spacing w:val="-2"/>
          <w:sz w:val="22"/>
          <w:u w:val="thick"/>
        </w:rPr>
        <w:t> </w:t>
      </w:r>
      <w:r>
        <w:rPr>
          <w:b/>
          <w:i/>
          <w:sz w:val="22"/>
          <w:u w:val="thick"/>
        </w:rPr>
        <w:t>Note</w:t>
      </w:r>
      <w:r>
        <w:rPr>
          <w:b/>
          <w:i/>
          <w:spacing w:val="-1"/>
          <w:sz w:val="22"/>
          <w:u w:val="thick"/>
        </w:rPr>
        <w:t> </w:t>
      </w:r>
      <w:r>
        <w:rPr>
          <w:b/>
          <w:i/>
          <w:sz w:val="22"/>
          <w:u w:val="thick"/>
        </w:rPr>
        <w:t>Regarding</w:t>
      </w:r>
      <w:r>
        <w:rPr>
          <w:b/>
          <w:i/>
          <w:spacing w:val="-2"/>
          <w:sz w:val="22"/>
          <w:u w:val="thick"/>
        </w:rPr>
        <w:t> </w:t>
      </w:r>
      <w:r>
        <w:rPr>
          <w:b/>
          <w:i/>
          <w:sz w:val="22"/>
          <w:u w:val="thick"/>
        </w:rPr>
        <w:t>Chapter</w:t>
      </w:r>
      <w:r>
        <w:rPr>
          <w:b/>
          <w:i/>
          <w:spacing w:val="-1"/>
          <w:sz w:val="22"/>
          <w:u w:val="thick"/>
        </w:rPr>
        <w:t> </w:t>
      </w:r>
      <w:r>
        <w:rPr>
          <w:b/>
          <w:i/>
          <w:sz w:val="22"/>
          <w:u w:val="thick"/>
        </w:rPr>
        <w:t>References</w:t>
      </w:r>
    </w:p>
    <w:p>
      <w:pPr>
        <w:pStyle w:val="BodyText"/>
        <w:spacing w:before="8"/>
        <w:rPr>
          <w:b/>
          <w:i/>
          <w:sz w:val="22"/>
        </w:rPr>
      </w:pPr>
    </w:p>
    <w:p>
      <w:pPr>
        <w:pStyle w:val="ListParagraph"/>
        <w:numPr>
          <w:ilvl w:val="0"/>
          <w:numId w:val="2"/>
        </w:numPr>
        <w:tabs>
          <w:tab w:pos="1433" w:val="left" w:leader="none"/>
          <w:tab w:pos="1434" w:val="left" w:leader="none"/>
        </w:tabs>
        <w:spacing w:line="276" w:lineRule="auto" w:before="92" w:after="0"/>
        <w:ind w:left="1433" w:right="1071" w:hanging="360"/>
        <w:jc w:val="left"/>
        <w:rPr>
          <w:sz w:val="21"/>
        </w:rPr>
      </w:pPr>
      <w:r>
        <w:rPr>
          <w:sz w:val="21"/>
        </w:rPr>
        <w:t>Acceptable</w:t>
      </w:r>
      <w:r>
        <w:rPr>
          <w:spacing w:val="-11"/>
          <w:sz w:val="21"/>
        </w:rPr>
        <w:t> </w:t>
      </w:r>
      <w:r>
        <w:rPr>
          <w:sz w:val="21"/>
        </w:rPr>
        <w:t>Styles</w:t>
      </w:r>
      <w:r>
        <w:rPr>
          <w:spacing w:val="-10"/>
          <w:sz w:val="21"/>
        </w:rPr>
        <w:t> </w:t>
      </w:r>
      <w:r>
        <w:rPr>
          <w:sz w:val="21"/>
        </w:rPr>
        <w:t>include</w:t>
      </w:r>
      <w:r>
        <w:rPr>
          <w:spacing w:val="-10"/>
          <w:sz w:val="21"/>
        </w:rPr>
        <w:t> </w:t>
      </w:r>
      <w:r>
        <w:rPr>
          <w:sz w:val="21"/>
        </w:rPr>
        <w:t>the</w:t>
      </w:r>
      <w:r>
        <w:rPr>
          <w:spacing w:val="-10"/>
          <w:sz w:val="21"/>
        </w:rPr>
        <w:t> </w:t>
      </w:r>
      <w:r>
        <w:rPr>
          <w:sz w:val="21"/>
        </w:rPr>
        <w:t>APA,</w:t>
      </w:r>
      <w:r>
        <w:rPr>
          <w:spacing w:val="-10"/>
          <w:sz w:val="21"/>
        </w:rPr>
        <w:t> </w:t>
      </w:r>
      <w:r>
        <w:rPr>
          <w:sz w:val="21"/>
        </w:rPr>
        <w:t>MLA,</w:t>
      </w:r>
      <w:r>
        <w:rPr>
          <w:spacing w:val="-12"/>
          <w:sz w:val="21"/>
        </w:rPr>
        <w:t> </w:t>
      </w:r>
      <w:r>
        <w:rPr>
          <w:sz w:val="21"/>
        </w:rPr>
        <w:t>Vancouver,</w:t>
      </w:r>
      <w:r>
        <w:rPr>
          <w:spacing w:val="-12"/>
          <w:sz w:val="21"/>
        </w:rPr>
        <w:t> </w:t>
      </w:r>
      <w:r>
        <w:rPr>
          <w:sz w:val="21"/>
        </w:rPr>
        <w:t>Harvard</w:t>
      </w:r>
      <w:r>
        <w:rPr>
          <w:spacing w:val="-10"/>
          <w:sz w:val="21"/>
        </w:rPr>
        <w:t> </w:t>
      </w:r>
      <w:r>
        <w:rPr>
          <w:sz w:val="21"/>
        </w:rPr>
        <w:t>and</w:t>
      </w:r>
      <w:r>
        <w:rPr>
          <w:spacing w:val="-10"/>
          <w:sz w:val="21"/>
        </w:rPr>
        <w:t> </w:t>
      </w:r>
      <w:r>
        <w:rPr>
          <w:sz w:val="21"/>
        </w:rPr>
        <w:t>Oxford</w:t>
      </w:r>
      <w:r>
        <w:rPr>
          <w:spacing w:val="-50"/>
          <w:sz w:val="21"/>
        </w:rPr>
        <w:t> </w:t>
      </w:r>
      <w:r>
        <w:rPr>
          <w:sz w:val="21"/>
        </w:rPr>
        <w:t>Reference</w:t>
      </w:r>
      <w:r>
        <w:rPr>
          <w:spacing w:val="-3"/>
          <w:sz w:val="21"/>
        </w:rPr>
        <w:t> </w:t>
      </w:r>
      <w:r>
        <w:rPr>
          <w:sz w:val="21"/>
        </w:rPr>
        <w:t>Styles.</w:t>
      </w:r>
    </w:p>
    <w:p>
      <w:pPr>
        <w:pStyle w:val="ListParagraph"/>
        <w:numPr>
          <w:ilvl w:val="0"/>
          <w:numId w:val="2"/>
        </w:numPr>
        <w:tabs>
          <w:tab w:pos="1433" w:val="left" w:leader="none"/>
          <w:tab w:pos="1434" w:val="left" w:leader="none"/>
        </w:tabs>
        <w:spacing w:line="240" w:lineRule="auto" w:before="0" w:after="0"/>
        <w:ind w:left="1433" w:right="1229" w:hanging="360"/>
        <w:jc w:val="left"/>
        <w:rPr>
          <w:sz w:val="21"/>
        </w:rPr>
      </w:pPr>
      <w:r>
        <w:rPr>
          <w:sz w:val="21"/>
        </w:rPr>
        <w:t>Within text, the references should be either author identified or reference</w:t>
      </w:r>
      <w:r>
        <w:rPr>
          <w:spacing w:val="-50"/>
          <w:sz w:val="21"/>
        </w:rPr>
        <w:t> </w:t>
      </w:r>
      <w:r>
        <w:rPr>
          <w:sz w:val="21"/>
        </w:rPr>
        <w:t>number</w:t>
      </w:r>
      <w:r>
        <w:rPr>
          <w:spacing w:val="-2"/>
          <w:sz w:val="21"/>
        </w:rPr>
        <w:t> </w:t>
      </w:r>
      <w:r>
        <w:rPr>
          <w:sz w:val="21"/>
        </w:rPr>
        <w:t>identified and</w:t>
      </w:r>
      <w:r>
        <w:rPr>
          <w:spacing w:val="-4"/>
          <w:sz w:val="21"/>
        </w:rPr>
        <w:t> </w:t>
      </w:r>
      <w:r>
        <w:rPr>
          <w:sz w:val="21"/>
        </w:rPr>
        <w:t>placed</w:t>
      </w:r>
      <w:r>
        <w:rPr>
          <w:spacing w:val="-3"/>
          <w:sz w:val="21"/>
        </w:rPr>
        <w:t> </w:t>
      </w:r>
      <w:r>
        <w:rPr>
          <w:sz w:val="21"/>
        </w:rPr>
        <w:t>in</w:t>
      </w:r>
      <w:r>
        <w:rPr>
          <w:spacing w:val="-1"/>
          <w:sz w:val="21"/>
        </w:rPr>
        <w:t> </w:t>
      </w:r>
      <w:r>
        <w:rPr>
          <w:sz w:val="21"/>
        </w:rPr>
        <w:t>square brackets</w:t>
      </w:r>
      <w:r>
        <w:rPr>
          <w:spacing w:val="-1"/>
          <w:sz w:val="21"/>
        </w:rPr>
        <w:t> </w:t>
      </w:r>
      <w:r>
        <w:rPr>
          <w:sz w:val="21"/>
        </w:rPr>
        <w:t>on the</w:t>
      </w:r>
      <w:r>
        <w:rPr>
          <w:spacing w:val="-1"/>
          <w:sz w:val="21"/>
        </w:rPr>
        <w:t> </w:t>
      </w:r>
      <w:r>
        <w:rPr>
          <w:sz w:val="21"/>
        </w:rPr>
        <w:t>line, e.g.</w:t>
      </w:r>
      <w:r>
        <w:rPr>
          <w:spacing w:val="-1"/>
          <w:sz w:val="21"/>
        </w:rPr>
        <w:t> </w:t>
      </w:r>
      <w:r>
        <w:rPr>
          <w:sz w:val="21"/>
        </w:rPr>
        <w:t>[37].</w:t>
      </w:r>
    </w:p>
    <w:p>
      <w:pPr>
        <w:pStyle w:val="ListParagraph"/>
        <w:numPr>
          <w:ilvl w:val="0"/>
          <w:numId w:val="2"/>
        </w:numPr>
        <w:tabs>
          <w:tab w:pos="1434" w:val="left" w:leader="none"/>
        </w:tabs>
        <w:spacing w:line="276" w:lineRule="auto" w:before="1" w:after="0"/>
        <w:ind w:left="1433" w:right="1070" w:hanging="360"/>
        <w:jc w:val="both"/>
        <w:rPr>
          <w:sz w:val="21"/>
        </w:rPr>
      </w:pPr>
      <w:r>
        <w:rPr>
          <w:sz w:val="21"/>
        </w:rPr>
        <w:t>The</w:t>
      </w:r>
      <w:r>
        <w:rPr>
          <w:spacing w:val="-8"/>
          <w:sz w:val="21"/>
        </w:rPr>
        <w:t> </w:t>
      </w:r>
      <w:r>
        <w:rPr>
          <w:sz w:val="21"/>
        </w:rPr>
        <w:t>preferred</w:t>
      </w:r>
      <w:r>
        <w:rPr>
          <w:spacing w:val="-9"/>
          <w:sz w:val="21"/>
        </w:rPr>
        <w:t> </w:t>
      </w:r>
      <w:r>
        <w:rPr>
          <w:sz w:val="21"/>
        </w:rPr>
        <w:t>Style</w:t>
      </w:r>
      <w:r>
        <w:rPr>
          <w:spacing w:val="-8"/>
          <w:sz w:val="21"/>
        </w:rPr>
        <w:t> </w:t>
      </w:r>
      <w:r>
        <w:rPr>
          <w:sz w:val="21"/>
        </w:rPr>
        <w:t>is</w:t>
      </w:r>
      <w:r>
        <w:rPr>
          <w:spacing w:val="-9"/>
          <w:sz w:val="21"/>
        </w:rPr>
        <w:t> </w:t>
      </w:r>
      <w:r>
        <w:rPr>
          <w:sz w:val="21"/>
        </w:rPr>
        <w:t>APA</w:t>
      </w:r>
      <w:r>
        <w:rPr>
          <w:spacing w:val="-7"/>
          <w:sz w:val="21"/>
        </w:rPr>
        <w:t> </w:t>
      </w:r>
      <w:r>
        <w:rPr>
          <w:sz w:val="21"/>
        </w:rPr>
        <w:t>for</w:t>
      </w:r>
      <w:r>
        <w:rPr>
          <w:spacing w:val="-9"/>
          <w:sz w:val="21"/>
        </w:rPr>
        <w:t> </w:t>
      </w:r>
      <w:r>
        <w:rPr>
          <w:sz w:val="21"/>
        </w:rPr>
        <w:t>social</w:t>
      </w:r>
      <w:r>
        <w:rPr>
          <w:spacing w:val="-9"/>
          <w:sz w:val="21"/>
        </w:rPr>
        <w:t> </w:t>
      </w:r>
      <w:r>
        <w:rPr>
          <w:sz w:val="21"/>
        </w:rPr>
        <w:t>sciences,</w:t>
      </w:r>
      <w:r>
        <w:rPr>
          <w:spacing w:val="-8"/>
          <w:sz w:val="21"/>
        </w:rPr>
        <w:t> </w:t>
      </w:r>
      <w:r>
        <w:rPr>
          <w:sz w:val="21"/>
        </w:rPr>
        <w:t>Vancouver</w:t>
      </w:r>
      <w:r>
        <w:rPr>
          <w:spacing w:val="-9"/>
          <w:sz w:val="21"/>
        </w:rPr>
        <w:t> </w:t>
      </w:r>
      <w:r>
        <w:rPr>
          <w:sz w:val="21"/>
        </w:rPr>
        <w:t>for</w:t>
      </w:r>
      <w:r>
        <w:rPr>
          <w:spacing w:val="-8"/>
          <w:sz w:val="21"/>
        </w:rPr>
        <w:t> </w:t>
      </w:r>
      <w:r>
        <w:rPr>
          <w:sz w:val="21"/>
        </w:rPr>
        <w:t>biomedicine,</w:t>
      </w:r>
      <w:r>
        <w:rPr>
          <w:spacing w:val="-50"/>
          <w:sz w:val="21"/>
        </w:rPr>
        <w:t> </w:t>
      </w:r>
      <w:r>
        <w:rPr>
          <w:sz w:val="21"/>
        </w:rPr>
        <w:t>AIP for physics, ACS for chemistry and AMS for mathematics. Please use</w:t>
      </w:r>
      <w:r>
        <w:rPr>
          <w:spacing w:val="-50"/>
          <w:sz w:val="21"/>
        </w:rPr>
        <w:t> </w:t>
      </w:r>
      <w:r>
        <w:rPr>
          <w:sz w:val="21"/>
        </w:rPr>
        <w:t>page setup letter</w:t>
      </w:r>
      <w:r>
        <w:rPr>
          <w:spacing w:val="-1"/>
          <w:sz w:val="21"/>
        </w:rPr>
        <w:t> </w:t>
      </w:r>
      <w:r>
        <w:rPr>
          <w:sz w:val="21"/>
        </w:rPr>
        <w:t>size and</w:t>
      </w:r>
      <w:r>
        <w:rPr>
          <w:spacing w:val="-3"/>
          <w:sz w:val="21"/>
        </w:rPr>
        <w:t> </w:t>
      </w:r>
      <w:r>
        <w:rPr>
          <w:sz w:val="21"/>
        </w:rPr>
        <w:t>not</w:t>
      </w:r>
      <w:r>
        <w:rPr>
          <w:spacing w:val="-4"/>
          <w:sz w:val="21"/>
        </w:rPr>
        <w:t> </w:t>
      </w:r>
      <w:r>
        <w:rPr>
          <w:sz w:val="21"/>
        </w:rPr>
        <w:t>A4</w:t>
      </w:r>
      <w:r>
        <w:rPr>
          <w:spacing w:val="-3"/>
          <w:sz w:val="21"/>
        </w:rPr>
        <w:t> </w:t>
      </w:r>
      <w:r>
        <w:rPr>
          <w:sz w:val="21"/>
        </w:rPr>
        <w:t>paper.</w:t>
      </w:r>
    </w:p>
    <w:p>
      <w:pPr>
        <w:pStyle w:val="ListParagraph"/>
        <w:numPr>
          <w:ilvl w:val="0"/>
          <w:numId w:val="2"/>
        </w:numPr>
        <w:tabs>
          <w:tab w:pos="1434" w:val="left" w:leader="none"/>
        </w:tabs>
        <w:spacing w:line="241" w:lineRule="exact" w:before="0" w:after="0"/>
        <w:ind w:left="1434" w:right="0" w:hanging="361"/>
        <w:jc w:val="both"/>
        <w:rPr>
          <w:sz w:val="21"/>
        </w:rPr>
      </w:pPr>
      <w:r>
        <w:rPr>
          <w:sz w:val="21"/>
        </w:rPr>
        <w:t>Every</w:t>
      </w:r>
      <w:r>
        <w:rPr>
          <w:spacing w:val="-4"/>
          <w:sz w:val="21"/>
        </w:rPr>
        <w:t> </w:t>
      </w:r>
      <w:r>
        <w:rPr>
          <w:sz w:val="21"/>
        </w:rPr>
        <w:t>Reference</w:t>
      </w:r>
      <w:r>
        <w:rPr>
          <w:spacing w:val="-1"/>
          <w:sz w:val="21"/>
        </w:rPr>
        <w:t> </w:t>
      </w:r>
      <w:r>
        <w:rPr>
          <w:sz w:val="21"/>
        </w:rPr>
        <w:t>must</w:t>
      </w:r>
      <w:r>
        <w:rPr>
          <w:spacing w:val="-2"/>
          <w:sz w:val="21"/>
        </w:rPr>
        <w:t> </w:t>
      </w:r>
      <w:r>
        <w:rPr>
          <w:sz w:val="21"/>
        </w:rPr>
        <w:t>be</w:t>
      </w:r>
      <w:r>
        <w:rPr>
          <w:spacing w:val="-1"/>
          <w:sz w:val="21"/>
        </w:rPr>
        <w:t> </w:t>
      </w:r>
      <w:r>
        <w:rPr>
          <w:sz w:val="21"/>
        </w:rPr>
        <w:t>cited within</w:t>
      </w:r>
      <w:r>
        <w:rPr>
          <w:spacing w:val="-1"/>
          <w:sz w:val="21"/>
        </w:rPr>
        <w:t> </w:t>
      </w:r>
      <w:r>
        <w:rPr>
          <w:sz w:val="21"/>
        </w:rPr>
        <w:t>the</w:t>
      </w:r>
      <w:r>
        <w:rPr>
          <w:spacing w:val="-1"/>
          <w:sz w:val="21"/>
        </w:rPr>
        <w:t> </w:t>
      </w:r>
      <w:r>
        <w:rPr>
          <w:sz w:val="21"/>
        </w:rPr>
        <w:t>text.</w:t>
      </w:r>
    </w:p>
    <w:p>
      <w:pPr>
        <w:pStyle w:val="ListParagraph"/>
        <w:numPr>
          <w:ilvl w:val="0"/>
          <w:numId w:val="2"/>
        </w:numPr>
        <w:tabs>
          <w:tab w:pos="1433" w:val="left" w:leader="none"/>
          <w:tab w:pos="1434" w:val="left" w:leader="none"/>
        </w:tabs>
        <w:spacing w:line="276" w:lineRule="auto" w:before="35" w:after="0"/>
        <w:ind w:left="1433" w:right="1072" w:hanging="360"/>
        <w:jc w:val="left"/>
        <w:rPr>
          <w:sz w:val="21"/>
        </w:rPr>
      </w:pPr>
      <w:r>
        <w:rPr>
          <w:sz w:val="21"/>
        </w:rPr>
        <w:t>References</w:t>
      </w:r>
      <w:r>
        <w:rPr>
          <w:spacing w:val="-4"/>
          <w:sz w:val="21"/>
        </w:rPr>
        <w:t> </w:t>
      </w:r>
      <w:r>
        <w:rPr>
          <w:sz w:val="21"/>
        </w:rPr>
        <w:t>may</w:t>
      </w:r>
      <w:r>
        <w:rPr>
          <w:spacing w:val="-3"/>
          <w:sz w:val="21"/>
        </w:rPr>
        <w:t> </w:t>
      </w:r>
      <w:r>
        <w:rPr>
          <w:sz w:val="21"/>
        </w:rPr>
        <w:t>be</w:t>
      </w:r>
      <w:r>
        <w:rPr>
          <w:spacing w:val="-3"/>
          <w:sz w:val="21"/>
        </w:rPr>
        <w:t> </w:t>
      </w:r>
      <w:r>
        <w:rPr>
          <w:sz w:val="21"/>
        </w:rPr>
        <w:t>cited</w:t>
      </w:r>
      <w:r>
        <w:rPr>
          <w:spacing w:val="-3"/>
          <w:sz w:val="21"/>
        </w:rPr>
        <w:t> </w:t>
      </w:r>
      <w:r>
        <w:rPr>
          <w:sz w:val="21"/>
        </w:rPr>
        <w:t>in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text</w:t>
      </w:r>
      <w:r>
        <w:rPr>
          <w:spacing w:val="-4"/>
          <w:sz w:val="21"/>
        </w:rPr>
        <w:t> </w:t>
      </w:r>
      <w:r>
        <w:rPr>
          <w:sz w:val="21"/>
        </w:rPr>
        <w:t>by</w:t>
      </w:r>
      <w:r>
        <w:rPr>
          <w:spacing w:val="-2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author</w:t>
      </w:r>
      <w:r>
        <w:rPr>
          <w:spacing w:val="-3"/>
          <w:sz w:val="21"/>
        </w:rPr>
        <w:t> </w:t>
      </w:r>
      <w:r>
        <w:rPr>
          <w:sz w:val="21"/>
        </w:rPr>
        <w:t>and</w:t>
      </w:r>
      <w:r>
        <w:rPr>
          <w:spacing w:val="-3"/>
          <w:sz w:val="21"/>
        </w:rPr>
        <w:t> </w:t>
      </w:r>
      <w:r>
        <w:rPr>
          <w:sz w:val="21"/>
        </w:rPr>
        <w:t>date</w:t>
      </w:r>
      <w:r>
        <w:rPr>
          <w:spacing w:val="-3"/>
          <w:sz w:val="21"/>
        </w:rPr>
        <w:t> </w:t>
      </w:r>
      <w:r>
        <w:rPr>
          <w:sz w:val="21"/>
        </w:rPr>
        <w:t>of</w:t>
      </w:r>
      <w:r>
        <w:rPr>
          <w:spacing w:val="-3"/>
          <w:sz w:val="21"/>
        </w:rPr>
        <w:t> </w:t>
      </w:r>
      <w:r>
        <w:rPr>
          <w:sz w:val="21"/>
        </w:rPr>
        <w:t>publication</w:t>
      </w:r>
      <w:r>
        <w:rPr>
          <w:spacing w:val="-3"/>
          <w:sz w:val="21"/>
        </w:rPr>
        <w:t> </w:t>
      </w:r>
      <w:r>
        <w:rPr>
          <w:sz w:val="21"/>
        </w:rPr>
        <w:t>in</w:t>
      </w:r>
      <w:r>
        <w:rPr>
          <w:spacing w:val="-49"/>
          <w:sz w:val="21"/>
        </w:rPr>
        <w:t> </w:t>
      </w:r>
      <w:r>
        <w:rPr>
          <w:sz w:val="21"/>
        </w:rPr>
        <w:t>parenthesis or</w:t>
      </w:r>
      <w:r>
        <w:rPr>
          <w:spacing w:val="-1"/>
          <w:sz w:val="21"/>
        </w:rPr>
        <w:t> </w:t>
      </w:r>
      <w:r>
        <w:rPr>
          <w:sz w:val="21"/>
        </w:rPr>
        <w:t>by</w:t>
      </w:r>
      <w:r>
        <w:rPr>
          <w:spacing w:val="-3"/>
          <w:sz w:val="21"/>
        </w:rPr>
        <w:t> </w:t>
      </w:r>
      <w:r>
        <w:rPr>
          <w:sz w:val="21"/>
        </w:rPr>
        <w:t>using numbers in brackets.</w:t>
      </w:r>
    </w:p>
    <w:p>
      <w:pPr>
        <w:pStyle w:val="ListParagraph"/>
        <w:numPr>
          <w:ilvl w:val="0"/>
          <w:numId w:val="2"/>
        </w:numPr>
        <w:tabs>
          <w:tab w:pos="1433" w:val="left" w:leader="none"/>
          <w:tab w:pos="1434" w:val="left" w:leader="none"/>
        </w:tabs>
        <w:spacing w:line="276" w:lineRule="auto" w:before="2" w:after="0"/>
        <w:ind w:left="1433" w:right="1067" w:hanging="360"/>
        <w:jc w:val="left"/>
        <w:rPr>
          <w:sz w:val="21"/>
        </w:rPr>
      </w:pPr>
      <w:r>
        <w:rPr>
          <w:sz w:val="21"/>
        </w:rPr>
        <w:t>Examples</w:t>
      </w:r>
      <w:r>
        <w:rPr>
          <w:spacing w:val="29"/>
          <w:sz w:val="21"/>
        </w:rPr>
        <w:t> </w:t>
      </w:r>
      <w:r>
        <w:rPr>
          <w:sz w:val="21"/>
        </w:rPr>
        <w:t>of</w:t>
      </w:r>
      <w:r>
        <w:rPr>
          <w:spacing w:val="28"/>
          <w:sz w:val="21"/>
        </w:rPr>
        <w:t> </w:t>
      </w:r>
      <w:r>
        <w:rPr>
          <w:sz w:val="21"/>
        </w:rPr>
        <w:t>acceptable</w:t>
      </w:r>
      <w:r>
        <w:rPr>
          <w:spacing w:val="29"/>
          <w:sz w:val="21"/>
        </w:rPr>
        <w:t> </w:t>
      </w:r>
      <w:r>
        <w:rPr>
          <w:sz w:val="21"/>
        </w:rPr>
        <w:t>forms</w:t>
      </w:r>
      <w:r>
        <w:rPr>
          <w:spacing w:val="29"/>
          <w:sz w:val="21"/>
        </w:rPr>
        <w:t> </w:t>
      </w:r>
      <w:r>
        <w:rPr>
          <w:sz w:val="21"/>
        </w:rPr>
        <w:t>of</w:t>
      </w:r>
      <w:r>
        <w:rPr>
          <w:spacing w:val="28"/>
          <w:sz w:val="21"/>
        </w:rPr>
        <w:t> </w:t>
      </w:r>
      <w:r>
        <w:rPr>
          <w:sz w:val="21"/>
        </w:rPr>
        <w:t>reference</w:t>
      </w:r>
      <w:r>
        <w:rPr>
          <w:spacing w:val="29"/>
          <w:sz w:val="21"/>
        </w:rPr>
        <w:t> </w:t>
      </w:r>
      <w:r>
        <w:rPr>
          <w:sz w:val="21"/>
        </w:rPr>
        <w:t>lists</w:t>
      </w:r>
      <w:r>
        <w:rPr>
          <w:spacing w:val="29"/>
          <w:sz w:val="21"/>
        </w:rPr>
        <w:t> </w:t>
      </w:r>
      <w:r>
        <w:rPr>
          <w:sz w:val="21"/>
        </w:rPr>
        <w:t>at</w:t>
      </w:r>
      <w:r>
        <w:rPr>
          <w:spacing w:val="28"/>
          <w:sz w:val="21"/>
        </w:rPr>
        <w:t> </w:t>
      </w:r>
      <w:r>
        <w:rPr>
          <w:sz w:val="21"/>
        </w:rPr>
        <w:t>the</w:t>
      </w:r>
      <w:r>
        <w:rPr>
          <w:spacing w:val="29"/>
          <w:sz w:val="21"/>
        </w:rPr>
        <w:t> </w:t>
      </w:r>
      <w:r>
        <w:rPr>
          <w:sz w:val="21"/>
        </w:rPr>
        <w:t>end</w:t>
      </w:r>
      <w:r>
        <w:rPr>
          <w:spacing w:val="32"/>
          <w:sz w:val="21"/>
        </w:rPr>
        <w:t> </w:t>
      </w:r>
      <w:r>
        <w:rPr>
          <w:sz w:val="21"/>
        </w:rPr>
        <w:t>of</w:t>
      </w:r>
      <w:r>
        <w:rPr>
          <w:spacing w:val="28"/>
          <w:sz w:val="21"/>
        </w:rPr>
        <w:t> </w:t>
      </w:r>
      <w:r>
        <w:rPr>
          <w:sz w:val="21"/>
        </w:rPr>
        <w:t>the</w:t>
      </w:r>
      <w:r>
        <w:rPr>
          <w:spacing w:val="-50"/>
          <w:sz w:val="21"/>
        </w:rPr>
        <w:t> </w:t>
      </w:r>
      <w:r>
        <w:rPr>
          <w:sz w:val="21"/>
        </w:rPr>
        <w:t>chapter/article</w:t>
      </w:r>
      <w:r>
        <w:rPr>
          <w:spacing w:val="-1"/>
          <w:sz w:val="21"/>
        </w:rPr>
        <w:t> </w:t>
      </w:r>
      <w:r>
        <w:rPr>
          <w:sz w:val="21"/>
        </w:rPr>
        <w:t>are given above under</w:t>
      </w:r>
      <w:r>
        <w:rPr>
          <w:spacing w:val="-4"/>
          <w:sz w:val="21"/>
        </w:rPr>
        <w:t> </w:t>
      </w:r>
      <w:r>
        <w:rPr>
          <w:sz w:val="21"/>
        </w:rPr>
        <w:t>“References”.</w:t>
      </w:r>
    </w:p>
    <w:p>
      <w:pPr>
        <w:pStyle w:val="ListParagraph"/>
        <w:numPr>
          <w:ilvl w:val="0"/>
          <w:numId w:val="2"/>
        </w:numPr>
        <w:tabs>
          <w:tab w:pos="1433" w:val="left" w:leader="none"/>
          <w:tab w:pos="1434" w:val="left" w:leader="none"/>
        </w:tabs>
        <w:spacing w:line="276" w:lineRule="auto" w:before="0" w:after="0"/>
        <w:ind w:left="1433" w:right="1480" w:hanging="360"/>
        <w:jc w:val="left"/>
        <w:rPr>
          <w:sz w:val="21"/>
        </w:rPr>
      </w:pPr>
      <w:r>
        <w:rPr>
          <w:sz w:val="21"/>
        </w:rPr>
        <w:t>If you would like your references to link to the original cited material,</w:t>
      </w:r>
      <w:r>
        <w:rPr>
          <w:spacing w:val="-51"/>
          <w:sz w:val="21"/>
        </w:rPr>
        <w:t> </w:t>
      </w:r>
      <w:r>
        <w:rPr>
          <w:sz w:val="21"/>
        </w:rPr>
        <w:t>please</w:t>
      </w:r>
      <w:r>
        <w:rPr>
          <w:spacing w:val="-1"/>
          <w:sz w:val="21"/>
        </w:rPr>
        <w:t> </w:t>
      </w:r>
      <w:r>
        <w:rPr>
          <w:sz w:val="21"/>
        </w:rPr>
        <w:t>submit</w:t>
      </w:r>
      <w:r>
        <w:rPr>
          <w:spacing w:val="-2"/>
          <w:sz w:val="21"/>
        </w:rPr>
        <w:t> </w:t>
      </w:r>
      <w:r>
        <w:rPr>
          <w:sz w:val="21"/>
        </w:rPr>
        <w:t>as</w:t>
      </w:r>
      <w:r>
        <w:rPr>
          <w:spacing w:val="-1"/>
          <w:sz w:val="21"/>
        </w:rPr>
        <w:t> </w:t>
      </w:r>
      <w:r>
        <w:rPr>
          <w:sz w:val="21"/>
        </w:rPr>
        <w:t>clickable</w:t>
      </w:r>
      <w:r>
        <w:rPr>
          <w:spacing w:val="-1"/>
          <w:sz w:val="21"/>
        </w:rPr>
        <w:t> </w:t>
      </w:r>
      <w:r>
        <w:rPr>
          <w:sz w:val="21"/>
        </w:rPr>
        <w:t>hyperlinks (i.e.,</w:t>
      </w:r>
      <w:r>
        <w:rPr>
          <w:spacing w:val="-1"/>
          <w:sz w:val="21"/>
        </w:rPr>
        <w:t> </w:t>
      </w:r>
      <w:r>
        <w:rPr>
          <w:sz w:val="21"/>
        </w:rPr>
        <w:t>DOI,</w:t>
      </w:r>
      <w:r>
        <w:rPr>
          <w:spacing w:val="-3"/>
          <w:sz w:val="21"/>
        </w:rPr>
        <w:t> </w:t>
      </w:r>
      <w:r>
        <w:rPr>
          <w:sz w:val="21"/>
        </w:rPr>
        <w:t>websites,</w:t>
      </w:r>
      <w:r>
        <w:rPr>
          <w:spacing w:val="-4"/>
          <w:sz w:val="21"/>
        </w:rPr>
        <w:t> </w:t>
      </w:r>
      <w:r>
        <w:rPr>
          <w:sz w:val="21"/>
        </w:rPr>
        <w:t>etc.).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29"/>
        </w:rPr>
      </w:pPr>
    </w:p>
    <w:p>
      <w:pPr>
        <w:spacing w:before="0"/>
        <w:ind w:left="1073" w:right="0" w:firstLine="0"/>
        <w:jc w:val="left"/>
        <w:rPr>
          <w:b/>
          <w:sz w:val="29"/>
        </w:rPr>
      </w:pPr>
      <w:r>
        <w:rPr>
          <w:b/>
          <w:w w:val="95"/>
          <w:sz w:val="29"/>
        </w:rPr>
        <w:t>Biographical</w:t>
      </w:r>
      <w:r>
        <w:rPr>
          <w:b/>
          <w:spacing w:val="13"/>
          <w:w w:val="95"/>
          <w:sz w:val="29"/>
        </w:rPr>
        <w:t> </w:t>
      </w:r>
      <w:r>
        <w:rPr>
          <w:b/>
          <w:w w:val="95"/>
          <w:sz w:val="29"/>
        </w:rPr>
        <w:t>Sketch</w:t>
      </w:r>
    </w:p>
    <w:p>
      <w:pPr>
        <w:pStyle w:val="BodyText"/>
        <w:spacing w:before="8"/>
        <w:rPr>
          <w:b/>
          <w:sz w:val="31"/>
        </w:rPr>
      </w:pPr>
    </w:p>
    <w:p>
      <w:pPr>
        <w:spacing w:before="1"/>
        <w:ind w:left="1073" w:right="0" w:firstLine="0"/>
        <w:jc w:val="left"/>
        <w:rPr>
          <w:sz w:val="21"/>
        </w:rPr>
      </w:pPr>
      <w:r>
        <w:rPr>
          <w:b/>
          <w:sz w:val="21"/>
        </w:rPr>
        <w:t>Name:</w:t>
      </w:r>
      <w:r>
        <w:rPr>
          <w:b/>
          <w:spacing w:val="-3"/>
          <w:sz w:val="21"/>
        </w:rPr>
        <w:t> </w:t>
      </w:r>
      <w:r>
        <w:rPr>
          <w:sz w:val="21"/>
        </w:rPr>
        <w:t>William</w:t>
      </w:r>
      <w:r>
        <w:rPr>
          <w:spacing w:val="-1"/>
          <w:sz w:val="21"/>
        </w:rPr>
        <w:t> </w:t>
      </w:r>
      <w:r>
        <w:rPr>
          <w:sz w:val="21"/>
        </w:rPr>
        <w:t>Adam</w:t>
      </w:r>
    </w:p>
    <w:p>
      <w:pPr>
        <w:pStyle w:val="BodyText"/>
        <w:spacing w:before="6"/>
        <w:rPr>
          <w:sz w:val="29"/>
        </w:rPr>
      </w:pPr>
    </w:p>
    <w:p>
      <w:pPr>
        <w:pStyle w:val="Heading5"/>
      </w:pPr>
      <w:r>
        <w:rPr/>
        <w:t>Affiliation:</w:t>
      </w:r>
    </w:p>
    <w:p>
      <w:pPr>
        <w:pStyle w:val="BodyText"/>
        <w:spacing w:line="288" w:lineRule="auto" w:before="47"/>
        <w:ind w:left="1073" w:right="1066"/>
      </w:pPr>
      <w:r>
        <w:rPr/>
        <w:t>Apple</w:t>
      </w:r>
      <w:r>
        <w:rPr>
          <w:spacing w:val="30"/>
        </w:rPr>
        <w:t> </w:t>
      </w:r>
      <w:r>
        <w:rPr/>
        <w:t>University,</w:t>
      </w:r>
      <w:r>
        <w:rPr>
          <w:spacing w:val="33"/>
        </w:rPr>
        <w:t> </w:t>
      </w:r>
      <w:r>
        <w:rPr/>
        <w:t>Physics</w:t>
      </w:r>
      <w:r>
        <w:rPr>
          <w:spacing w:val="30"/>
        </w:rPr>
        <w:t> </w:t>
      </w:r>
      <w:r>
        <w:rPr/>
        <w:t>Faculty,</w:t>
      </w:r>
      <w:r>
        <w:rPr>
          <w:spacing w:val="33"/>
        </w:rPr>
        <w:t> </w:t>
      </w:r>
      <w:r>
        <w:rPr/>
        <w:t>Institute</w:t>
      </w:r>
      <w:r>
        <w:rPr>
          <w:spacing w:val="33"/>
        </w:rPr>
        <w:t> </w:t>
      </w:r>
      <w:r>
        <w:rPr/>
        <w:t>of</w:t>
      </w:r>
      <w:r>
        <w:rPr>
          <w:spacing w:val="32"/>
        </w:rPr>
        <w:t> </w:t>
      </w:r>
      <w:r>
        <w:rPr/>
        <w:t>Theoretical</w:t>
      </w:r>
      <w:r>
        <w:rPr>
          <w:spacing w:val="32"/>
        </w:rPr>
        <w:t> </w:t>
      </w:r>
      <w:r>
        <w:rPr/>
        <w:t>Physics</w:t>
      </w:r>
      <w:r>
        <w:rPr>
          <w:spacing w:val="32"/>
        </w:rPr>
        <w:t> </w:t>
      </w:r>
      <w:r>
        <w:rPr/>
        <w:t>and</w:t>
      </w:r>
      <w:r>
        <w:rPr>
          <w:spacing w:val="-50"/>
        </w:rPr>
        <w:t> </w:t>
      </w:r>
      <w:r>
        <w:rPr/>
        <w:t>Astronomy</w:t>
      </w:r>
    </w:p>
    <w:p>
      <w:pPr>
        <w:spacing w:after="0" w:line="288" w:lineRule="auto"/>
        <w:sectPr>
          <w:pgSz w:w="12240" w:h="15840"/>
          <w:pgMar w:header="2141" w:footer="0" w:top="2360" w:bottom="280" w:left="1720" w:right="1720"/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Heading5"/>
        <w:spacing w:before="92"/>
      </w:pPr>
      <w:r>
        <w:rPr/>
        <w:t>Education:</w:t>
      </w:r>
    </w:p>
    <w:p>
      <w:pPr>
        <w:pStyle w:val="BodyText"/>
        <w:spacing w:line="285" w:lineRule="auto" w:before="49"/>
        <w:ind w:left="2154" w:right="1066" w:hanging="1081"/>
      </w:pPr>
      <w:r>
        <w:rPr/>
        <w:t>2017-2019</w:t>
      </w:r>
      <w:r>
        <w:rPr>
          <w:spacing w:val="11"/>
        </w:rPr>
        <w:t> </w:t>
      </w:r>
      <w:r>
        <w:rPr/>
        <w:t>Graduated</w:t>
      </w:r>
      <w:r>
        <w:rPr>
          <w:spacing w:val="33"/>
        </w:rPr>
        <w:t> </w:t>
      </w:r>
      <w:r>
        <w:rPr/>
        <w:t>with</w:t>
      </w:r>
      <w:r>
        <w:rPr>
          <w:spacing w:val="35"/>
        </w:rPr>
        <w:t> </w:t>
      </w:r>
      <w:r>
        <w:rPr/>
        <w:t>honors</w:t>
      </w:r>
      <w:r>
        <w:rPr>
          <w:spacing w:val="32"/>
        </w:rPr>
        <w:t> </w:t>
      </w:r>
      <w:r>
        <w:rPr/>
        <w:t>from</w:t>
      </w:r>
      <w:r>
        <w:rPr>
          <w:spacing w:val="34"/>
        </w:rPr>
        <w:t> </w:t>
      </w:r>
      <w:r>
        <w:rPr/>
        <w:t>the</w:t>
      </w:r>
      <w:r>
        <w:rPr>
          <w:spacing w:val="35"/>
        </w:rPr>
        <w:t> </w:t>
      </w:r>
      <w:r>
        <w:rPr/>
        <w:t>Physics</w:t>
      </w:r>
      <w:r>
        <w:rPr>
          <w:spacing w:val="35"/>
        </w:rPr>
        <w:t> </w:t>
      </w:r>
      <w:r>
        <w:rPr/>
        <w:t>Faculty</w:t>
      </w:r>
      <w:r>
        <w:rPr>
          <w:spacing w:val="35"/>
        </w:rPr>
        <w:t> </w:t>
      </w:r>
      <w:r>
        <w:rPr/>
        <w:t>of</w:t>
      </w:r>
      <w:r>
        <w:rPr>
          <w:spacing w:val="35"/>
        </w:rPr>
        <w:t> </w:t>
      </w:r>
      <w:r>
        <w:rPr/>
        <w:t>Apple</w:t>
      </w:r>
      <w:r>
        <w:rPr>
          <w:spacing w:val="-50"/>
        </w:rPr>
        <w:t> </w:t>
      </w:r>
      <w:r>
        <w:rPr/>
        <w:t>University</w:t>
      </w:r>
    </w:p>
    <w:p>
      <w:pPr>
        <w:pStyle w:val="BodyText"/>
        <w:spacing w:before="4"/>
        <w:ind w:left="1073"/>
      </w:pPr>
      <w:r>
        <w:rPr/>
        <w:t>2016-2010,</w:t>
      </w:r>
      <w:r>
        <w:rPr>
          <w:spacing w:val="-5"/>
        </w:rPr>
        <w:t> </w:t>
      </w:r>
      <w:r>
        <w:rPr/>
        <w:t>University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Quantum,</w:t>
      </w:r>
      <w:r>
        <w:rPr>
          <w:spacing w:val="-1"/>
        </w:rPr>
        <w:t> </w:t>
      </w:r>
      <w:r>
        <w:rPr/>
        <w:t>MD</w:t>
      </w:r>
      <w:r>
        <w:rPr>
          <w:spacing w:val="-1"/>
        </w:rPr>
        <w:t> </w:t>
      </w:r>
      <w:r>
        <w:rPr/>
        <w:t>degree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Biochemistry</w:t>
      </w:r>
    </w:p>
    <w:p>
      <w:pPr>
        <w:pStyle w:val="BodyText"/>
        <w:spacing w:before="5"/>
        <w:rPr>
          <w:sz w:val="29"/>
        </w:rPr>
      </w:pPr>
    </w:p>
    <w:p>
      <w:pPr>
        <w:pStyle w:val="Heading5"/>
      </w:pPr>
      <w:r>
        <w:rPr/>
        <w:t>Business</w:t>
      </w:r>
      <w:r>
        <w:rPr>
          <w:spacing w:val="-3"/>
        </w:rPr>
        <w:t> </w:t>
      </w:r>
      <w:r>
        <w:rPr/>
        <w:t>Address:</w:t>
      </w:r>
    </w:p>
    <w:p>
      <w:pPr>
        <w:pStyle w:val="BodyText"/>
        <w:spacing w:before="47"/>
        <w:ind w:left="1073"/>
      </w:pPr>
      <w:r>
        <w:rPr/>
        <w:t>123</w:t>
      </w:r>
      <w:r>
        <w:rPr>
          <w:spacing w:val="-3"/>
        </w:rPr>
        <w:t> </w:t>
      </w:r>
      <w:r>
        <w:rPr/>
        <w:t>North St.,</w:t>
      </w:r>
      <w:r>
        <w:rPr>
          <w:spacing w:val="-2"/>
        </w:rPr>
        <w:t> </w:t>
      </w:r>
      <w:r>
        <w:rPr/>
        <w:t>East</w:t>
      </w:r>
      <w:r>
        <w:rPr>
          <w:spacing w:val="-1"/>
        </w:rPr>
        <w:t> </w:t>
      </w:r>
      <w:r>
        <w:rPr/>
        <w:t>Wing,</w:t>
      </w:r>
      <w:r>
        <w:rPr>
          <w:spacing w:val="-3"/>
        </w:rPr>
        <w:t> </w:t>
      </w:r>
      <w:r>
        <w:rPr/>
        <w:t>Orlando, FL,</w:t>
      </w:r>
      <w:r>
        <w:rPr>
          <w:spacing w:val="-1"/>
        </w:rPr>
        <w:t> </w:t>
      </w:r>
      <w:r>
        <w:rPr/>
        <w:t>USA</w:t>
      </w:r>
    </w:p>
    <w:p>
      <w:pPr>
        <w:pStyle w:val="BodyText"/>
        <w:spacing w:before="6"/>
        <w:rPr>
          <w:sz w:val="29"/>
        </w:rPr>
      </w:pPr>
    </w:p>
    <w:p>
      <w:pPr>
        <w:pStyle w:val="Heading5"/>
      </w:pPr>
      <w:r>
        <w:rPr/>
        <w:t>Research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Professional</w:t>
      </w:r>
      <w:r>
        <w:rPr>
          <w:spacing w:val="-1"/>
        </w:rPr>
        <w:t> </w:t>
      </w:r>
      <w:r>
        <w:rPr/>
        <w:t>Experience:</w:t>
      </w:r>
    </w:p>
    <w:p>
      <w:pPr>
        <w:pStyle w:val="BodyText"/>
        <w:spacing w:before="49"/>
        <w:ind w:left="1073"/>
      </w:pPr>
      <w:r>
        <w:rPr/>
        <w:t>Full</w:t>
      </w:r>
      <w:r>
        <w:rPr>
          <w:spacing w:val="-2"/>
        </w:rPr>
        <w:t> </w:t>
      </w:r>
      <w:r>
        <w:rPr/>
        <w:t>senior</w:t>
      </w:r>
      <w:r>
        <w:rPr>
          <w:spacing w:val="-2"/>
        </w:rPr>
        <w:t> </w:t>
      </w:r>
      <w:r>
        <w:rPr/>
        <w:t>research fellow</w:t>
      </w:r>
      <w:r>
        <w:rPr>
          <w:spacing w:val="-2"/>
        </w:rPr>
        <w:t> </w:t>
      </w:r>
      <w:r>
        <w:rPr/>
        <w:t>position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Apple</w:t>
      </w:r>
      <w:r>
        <w:rPr>
          <w:spacing w:val="-4"/>
        </w:rPr>
        <w:t> </w:t>
      </w:r>
      <w:r>
        <w:rPr/>
        <w:t>University</w:t>
      </w:r>
      <w:r>
        <w:rPr>
          <w:spacing w:val="-1"/>
        </w:rPr>
        <w:t> </w:t>
      </w:r>
      <w:r>
        <w:rPr/>
        <w:t>since 2017.</w:t>
      </w:r>
    </w:p>
    <w:p>
      <w:pPr>
        <w:pStyle w:val="Heading5"/>
        <w:spacing w:before="47"/>
      </w:pPr>
      <w:r>
        <w:rPr/>
        <w:t>Professional</w:t>
      </w:r>
      <w:r>
        <w:rPr>
          <w:spacing w:val="-4"/>
        </w:rPr>
        <w:t> </w:t>
      </w:r>
      <w:r>
        <w:rPr/>
        <w:t>Appointments:</w:t>
      </w:r>
    </w:p>
    <w:p>
      <w:pPr>
        <w:pStyle w:val="BodyText"/>
        <w:spacing w:line="288" w:lineRule="auto" w:before="49"/>
        <w:ind w:left="1073" w:right="976"/>
      </w:pPr>
      <w:r>
        <w:rPr/>
        <w:t>Coordinator</w:t>
      </w:r>
      <w:r>
        <w:rPr>
          <w:spacing w:val="10"/>
        </w:rPr>
        <w:t> </w:t>
      </w:r>
      <w:r>
        <w:rPr/>
        <w:t>of</w:t>
      </w:r>
      <w:r>
        <w:rPr>
          <w:spacing w:val="11"/>
        </w:rPr>
        <w:t> </w:t>
      </w:r>
      <w:r>
        <w:rPr/>
        <w:t>the</w:t>
      </w:r>
      <w:r>
        <w:rPr>
          <w:spacing w:val="11"/>
        </w:rPr>
        <w:t> </w:t>
      </w:r>
      <w:r>
        <w:rPr/>
        <w:t>Laboratory</w:t>
      </w:r>
      <w:r>
        <w:rPr>
          <w:spacing w:val="11"/>
        </w:rPr>
        <w:t> </w:t>
      </w:r>
      <w:r>
        <w:rPr/>
        <w:t>of</w:t>
      </w:r>
      <w:r>
        <w:rPr>
          <w:spacing w:val="12"/>
        </w:rPr>
        <w:t> </w:t>
      </w:r>
      <w:r>
        <w:rPr/>
        <w:t>Bacterial</w:t>
      </w:r>
      <w:r>
        <w:rPr>
          <w:spacing w:val="11"/>
        </w:rPr>
        <w:t> </w:t>
      </w:r>
      <w:r>
        <w:rPr/>
        <w:t>Resistance.</w:t>
      </w:r>
      <w:r>
        <w:rPr>
          <w:spacing w:val="9"/>
        </w:rPr>
        <w:t> </w:t>
      </w:r>
      <w:r>
        <w:rPr/>
        <w:t>Associate</w:t>
      </w:r>
      <w:r>
        <w:rPr>
          <w:spacing w:val="10"/>
        </w:rPr>
        <w:t> </w:t>
      </w:r>
      <w:r>
        <w:rPr/>
        <w:t>editor</w:t>
      </w:r>
      <w:r>
        <w:rPr>
          <w:spacing w:val="11"/>
        </w:rPr>
        <w:t> </w:t>
      </w:r>
      <w:r>
        <w:rPr/>
        <w:t>of</w:t>
      </w:r>
      <w:r>
        <w:rPr>
          <w:spacing w:val="11"/>
        </w:rPr>
        <w:t> </w:t>
      </w:r>
      <w:r>
        <w:rPr/>
        <w:t>the</w:t>
      </w:r>
      <w:r>
        <w:rPr>
          <w:spacing w:val="-50"/>
        </w:rPr>
        <w:t> </w:t>
      </w:r>
      <w:r>
        <w:rPr/>
        <w:t>Journal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Quantum</w:t>
      </w:r>
      <w:r>
        <w:rPr>
          <w:spacing w:val="-3"/>
        </w:rPr>
        <w:t> </w:t>
      </w:r>
      <w:r>
        <w:rPr/>
        <w:t>Physics.</w:t>
      </w:r>
      <w:r>
        <w:rPr>
          <w:spacing w:val="-6"/>
        </w:rPr>
        <w:t> </w:t>
      </w:r>
      <w:r>
        <w:rPr/>
        <w:t>Author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</w:t>
      </w:r>
      <w:r>
        <w:rPr/>
        <w:t>several</w:t>
      </w:r>
      <w:r>
        <w:rPr>
          <w:spacing w:val="-5"/>
        </w:rPr>
        <w:t> </w:t>
      </w:r>
      <w:r>
        <w:rPr/>
        <w:t>chapters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/>
        <w:t>international</w:t>
      </w:r>
      <w:r>
        <w:rPr>
          <w:spacing w:val="-4"/>
        </w:rPr>
        <w:t> </w:t>
      </w:r>
      <w:r>
        <w:rPr/>
        <w:t>books.</w:t>
      </w:r>
    </w:p>
    <w:p>
      <w:pPr>
        <w:pStyle w:val="BodyText"/>
        <w:spacing w:before="1"/>
        <w:rPr>
          <w:sz w:val="25"/>
        </w:rPr>
      </w:pPr>
    </w:p>
    <w:p>
      <w:pPr>
        <w:pStyle w:val="Heading5"/>
        <w:spacing w:before="1"/>
      </w:pPr>
      <w:r>
        <w:rPr/>
        <w:t>Honors:</w:t>
      </w:r>
    </w:p>
    <w:p>
      <w:pPr>
        <w:pStyle w:val="BodyText"/>
        <w:spacing w:line="288" w:lineRule="auto" w:before="48"/>
        <w:ind w:left="1073" w:right="1066"/>
      </w:pPr>
      <w:r>
        <w:rPr/>
        <w:t>Scholarship</w:t>
      </w:r>
      <w:r>
        <w:rPr>
          <w:spacing w:val="46"/>
        </w:rPr>
        <w:t> </w:t>
      </w:r>
      <w:r>
        <w:rPr/>
        <w:t>of</w:t>
      </w:r>
      <w:r>
        <w:rPr>
          <w:spacing w:val="45"/>
        </w:rPr>
        <w:t> </w:t>
      </w:r>
      <w:r>
        <w:rPr/>
        <w:t>honor</w:t>
      </w:r>
      <w:r>
        <w:rPr>
          <w:spacing w:val="44"/>
        </w:rPr>
        <w:t> </w:t>
      </w:r>
      <w:r>
        <w:rPr/>
        <w:t>to</w:t>
      </w:r>
      <w:r>
        <w:rPr>
          <w:spacing w:val="46"/>
        </w:rPr>
        <w:t> </w:t>
      </w:r>
      <w:r>
        <w:rPr/>
        <w:t>academic</w:t>
      </w:r>
      <w:r>
        <w:rPr>
          <w:spacing w:val="45"/>
        </w:rPr>
        <w:t> </w:t>
      </w:r>
      <w:r>
        <w:rPr/>
        <w:t>excellence.</w:t>
      </w:r>
      <w:r>
        <w:rPr>
          <w:spacing w:val="45"/>
        </w:rPr>
        <w:t> </w:t>
      </w:r>
      <w:r>
        <w:rPr/>
        <w:t>Professional</w:t>
      </w:r>
      <w:r>
        <w:rPr>
          <w:spacing w:val="43"/>
        </w:rPr>
        <w:t> </w:t>
      </w:r>
      <w:r>
        <w:rPr/>
        <w:t>recognition</w:t>
      </w:r>
      <w:r>
        <w:rPr>
          <w:spacing w:val="46"/>
        </w:rPr>
        <w:t> </w:t>
      </w:r>
      <w:r>
        <w:rPr/>
        <w:t>PEI</w:t>
      </w:r>
      <w:r>
        <w:rPr>
          <w:spacing w:val="-50"/>
        </w:rPr>
        <w:t> </w:t>
      </w:r>
      <w:r>
        <w:rPr/>
        <w:t>(2019, 2020).</w:t>
      </w:r>
    </w:p>
    <w:p>
      <w:pPr>
        <w:pStyle w:val="BodyText"/>
        <w:spacing w:before="2"/>
        <w:rPr>
          <w:sz w:val="25"/>
        </w:rPr>
      </w:pPr>
    </w:p>
    <w:p>
      <w:pPr>
        <w:pStyle w:val="Heading5"/>
      </w:pPr>
      <w:r>
        <w:rPr/>
        <w:t>Publications from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Last</w:t>
      </w:r>
      <w:r>
        <w:rPr>
          <w:spacing w:val="-4"/>
        </w:rPr>
        <w:t> </w:t>
      </w:r>
      <w:r>
        <w:rPr/>
        <w:t>3 Years:</w:t>
      </w:r>
    </w:p>
    <w:p>
      <w:pPr>
        <w:spacing w:line="288" w:lineRule="auto" w:before="50"/>
        <w:ind w:left="1433" w:right="976" w:hanging="360"/>
        <w:jc w:val="left"/>
        <w:rPr>
          <w:sz w:val="21"/>
        </w:rPr>
      </w:pPr>
      <w:r>
        <w:rPr>
          <w:sz w:val="21"/>
        </w:rPr>
        <w:t>Li,</w:t>
      </w:r>
      <w:r>
        <w:rPr>
          <w:spacing w:val="14"/>
          <w:sz w:val="21"/>
        </w:rPr>
        <w:t> </w:t>
      </w:r>
      <w:r>
        <w:rPr>
          <w:sz w:val="21"/>
        </w:rPr>
        <w:t>Q.,</w:t>
      </w:r>
      <w:r>
        <w:rPr>
          <w:spacing w:val="15"/>
          <w:sz w:val="21"/>
        </w:rPr>
        <w:t> </w:t>
      </w:r>
      <w:r>
        <w:rPr>
          <w:sz w:val="21"/>
        </w:rPr>
        <w:t>W.</w:t>
      </w:r>
      <w:r>
        <w:rPr>
          <w:spacing w:val="16"/>
          <w:sz w:val="21"/>
        </w:rPr>
        <w:t> </w:t>
      </w:r>
      <w:r>
        <w:rPr>
          <w:sz w:val="21"/>
        </w:rPr>
        <w:t>Awiyah,</w:t>
      </w:r>
      <w:r>
        <w:rPr>
          <w:spacing w:val="14"/>
          <w:sz w:val="21"/>
        </w:rPr>
        <w:t> </w:t>
      </w:r>
      <w:r>
        <w:rPr>
          <w:sz w:val="21"/>
        </w:rPr>
        <w:t>Li,</w:t>
      </w:r>
      <w:r>
        <w:rPr>
          <w:spacing w:val="15"/>
          <w:sz w:val="21"/>
        </w:rPr>
        <w:t> </w:t>
      </w:r>
      <w:r>
        <w:rPr>
          <w:sz w:val="21"/>
        </w:rPr>
        <w:t>S.</w:t>
      </w:r>
      <w:r>
        <w:rPr>
          <w:spacing w:val="14"/>
          <w:sz w:val="21"/>
        </w:rPr>
        <w:t> </w:t>
      </w:r>
      <w:r>
        <w:rPr>
          <w:sz w:val="21"/>
        </w:rPr>
        <w:t>and</w:t>
      </w:r>
      <w:r>
        <w:rPr>
          <w:spacing w:val="15"/>
          <w:sz w:val="21"/>
        </w:rPr>
        <w:t> </w:t>
      </w:r>
      <w:r>
        <w:rPr>
          <w:sz w:val="21"/>
        </w:rPr>
        <w:t>Xu,</w:t>
      </w:r>
      <w:r>
        <w:rPr>
          <w:spacing w:val="14"/>
          <w:sz w:val="21"/>
        </w:rPr>
        <w:t> </w:t>
      </w:r>
      <w:r>
        <w:rPr>
          <w:sz w:val="21"/>
        </w:rPr>
        <w:t>L.</w:t>
      </w:r>
      <w:r>
        <w:rPr>
          <w:spacing w:val="15"/>
          <w:sz w:val="21"/>
        </w:rPr>
        <w:t> </w:t>
      </w:r>
      <w:r>
        <w:rPr>
          <w:sz w:val="21"/>
        </w:rPr>
        <w:t>(2020).</w:t>
      </w:r>
      <w:r>
        <w:rPr>
          <w:spacing w:val="13"/>
          <w:sz w:val="21"/>
        </w:rPr>
        <w:t> </w:t>
      </w:r>
      <w:r>
        <w:rPr>
          <w:sz w:val="21"/>
        </w:rPr>
        <w:t>National</w:t>
      </w:r>
      <w:r>
        <w:rPr>
          <w:spacing w:val="13"/>
          <w:sz w:val="21"/>
        </w:rPr>
        <w:t> </w:t>
      </w:r>
      <w:r>
        <w:rPr>
          <w:sz w:val="21"/>
        </w:rPr>
        <w:t>elections</w:t>
      </w:r>
      <w:r>
        <w:rPr>
          <w:spacing w:val="17"/>
          <w:sz w:val="21"/>
        </w:rPr>
        <w:t> </w:t>
      </w:r>
      <w:r>
        <w:rPr>
          <w:sz w:val="21"/>
        </w:rPr>
        <w:t>and</w:t>
      </w:r>
      <w:r>
        <w:rPr>
          <w:spacing w:val="16"/>
          <w:sz w:val="21"/>
        </w:rPr>
        <w:t> </w:t>
      </w:r>
      <w:r>
        <w:rPr>
          <w:sz w:val="21"/>
        </w:rPr>
        <w:t>tail</w:t>
      </w:r>
      <w:r>
        <w:rPr>
          <w:spacing w:val="16"/>
          <w:sz w:val="21"/>
        </w:rPr>
        <w:t> </w:t>
      </w:r>
      <w:r>
        <w:rPr>
          <w:sz w:val="21"/>
        </w:rPr>
        <w:t>risk:</w:t>
      </w:r>
      <w:r>
        <w:rPr>
          <w:spacing w:val="-50"/>
          <w:sz w:val="21"/>
        </w:rPr>
        <w:t> </w:t>
      </w:r>
      <w:r>
        <w:rPr>
          <w:sz w:val="21"/>
        </w:rPr>
        <w:t>International</w:t>
      </w:r>
      <w:r>
        <w:rPr>
          <w:spacing w:val="-1"/>
          <w:sz w:val="21"/>
        </w:rPr>
        <w:t> </w:t>
      </w:r>
      <w:r>
        <w:rPr>
          <w:sz w:val="21"/>
        </w:rPr>
        <w:t>evidence.</w:t>
      </w:r>
      <w:r>
        <w:rPr>
          <w:spacing w:val="-3"/>
          <w:sz w:val="21"/>
        </w:rPr>
        <w:t> </w:t>
      </w:r>
      <w:r>
        <w:rPr>
          <w:i/>
          <w:sz w:val="21"/>
        </w:rPr>
        <w:t>Journal</w:t>
      </w:r>
      <w:r>
        <w:rPr>
          <w:i/>
          <w:spacing w:val="-1"/>
          <w:sz w:val="21"/>
        </w:rPr>
        <w:t> </w:t>
      </w:r>
      <w:r>
        <w:rPr>
          <w:i/>
          <w:sz w:val="21"/>
        </w:rPr>
        <w:t>of</w:t>
      </w:r>
      <w:r>
        <w:rPr>
          <w:i/>
          <w:spacing w:val="-1"/>
          <w:sz w:val="21"/>
        </w:rPr>
        <w:t> </w:t>
      </w:r>
      <w:r>
        <w:rPr>
          <w:i/>
          <w:sz w:val="21"/>
        </w:rPr>
        <w:t>Banking and</w:t>
      </w:r>
      <w:r>
        <w:rPr>
          <w:i/>
          <w:spacing w:val="1"/>
          <w:sz w:val="21"/>
        </w:rPr>
        <w:t> </w:t>
      </w:r>
      <w:r>
        <w:rPr>
          <w:i/>
          <w:sz w:val="21"/>
        </w:rPr>
        <w:t>Finance</w:t>
      </w:r>
      <w:r>
        <w:rPr>
          <w:sz w:val="21"/>
        </w:rPr>
        <w:t>,</w:t>
      </w:r>
      <w:r>
        <w:rPr>
          <w:spacing w:val="-3"/>
          <w:sz w:val="21"/>
        </w:rPr>
        <w:t> </w:t>
      </w:r>
      <w:r>
        <w:rPr>
          <w:sz w:val="21"/>
        </w:rPr>
        <w:t>113-128.</w:t>
      </w:r>
    </w:p>
    <w:sectPr>
      <w:pgSz w:w="12240" w:h="15840"/>
      <w:pgMar w:header="2141" w:footer="0" w:top="236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Cambria Math">
    <w:altName w:val="Cambria Math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36.699997pt;margin-top:106.064514pt;width:11pt;height:13.05pt;mso-position-horizontal-relative:page;mso-position-vertical-relative:page;z-index:-15937024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w w:val="99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277.690002pt;margin-top:106.064514pt;width:61.55pt;height:13.05pt;mso-position-horizontal-relative:page;mso-position-vertical-relative:page;z-index:-15936512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William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Adam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65.450012pt;margin-top:106.064514pt;width:76.150pt;height:13.05pt;mso-position-horizontal-relative:page;mso-position-vertical-relative:page;z-index:-15936000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National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Elections</w:t>
                </w:r>
              </w:p>
            </w:txbxContent>
          </v:textbox>
          <w10:wrap type="none"/>
        </v:shape>
      </w:pict>
    </w:r>
    <w:r>
      <w:rPr/>
      <w:pict>
        <v:shape style="position:absolute;margin-left:464.380005pt;margin-top:106.064514pt;width:11pt;height:13.05pt;mso-position-horizontal-relative:page;mso-position-vertical-relative:page;z-index:-15935488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w w:val="99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1434" w:hanging="360"/>
      </w:pPr>
      <w:rPr>
        <w:rFonts w:hint="default" w:ascii="Symbol" w:hAnsi="Symbol" w:eastAsia="Symbol" w:cs="Symbol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"/>
      <w:lvlJc w:val="left"/>
      <w:pPr>
        <w:ind w:left="1172" w:hanging="99"/>
      </w:pPr>
      <w:rPr>
        <w:rFonts w:hint="default" w:ascii="Symbol" w:hAnsi="Symbol" w:eastAsia="Symbol" w:cs="Symbol"/>
        <w:w w:val="100"/>
        <w:position w:val="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2" w:hanging="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04" w:hanging="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6" w:hanging="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28" w:hanging="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90" w:hanging="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52" w:hanging="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14" w:hanging="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76" w:hanging="99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3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3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073"/>
      <w:jc w:val="both"/>
      <w:outlineLvl w:val="3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073"/>
      <w:outlineLvl w:val="4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left="1073"/>
      <w:outlineLvl w:val="5"/>
    </w:pPr>
    <w:rPr>
      <w:rFonts w:ascii="Times New Roman" w:hAnsi="Times New Roman" w:eastAsia="Times New Roman" w:cs="Times New Roman"/>
      <w:b/>
      <w:bCs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073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33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07" w:lineRule="exact"/>
      <w:ind w:left="107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2024-11-06T08:45:13Z</dcterms:created>
  <dcterms:modified xsi:type="dcterms:W3CDTF">2024-11-06T08:45:13Z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2024-11-06T00:00:00Z</vt:filetime>
  </property>
  <property fmtid="{D5CDD505-2E9C-101B-9397-08002B2CF9AE}" pid="3" name="LastSaved">
    <vt:filetime>2024-11-06T00:00:00Z</vt:filetime>
  </property>
</Properties>
</file>